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56" w:lineRule="exact"/>
        <w:rPr>
          <w:sz w:val="24"/>
          <w:szCs w:val="24"/>
          <w:color w:val="auto"/>
        </w:rPr>
      </w:pPr>
    </w:p>
    <w:p>
      <w:pPr>
        <w:jc w:val="center"/>
        <w:ind w:right="6"/>
        <w:spacing w:after="0" w:line="457" w:lineRule="exact"/>
        <w:rPr>
          <w:sz w:val="20"/>
          <w:szCs w:val="20"/>
          <w:color w:val="auto"/>
        </w:rPr>
      </w:pPr>
      <w:r>
        <w:rPr>
          <w:rFonts w:ascii="宋体" w:cs="宋体" w:eastAsia="宋体" w:hAnsi="宋体"/>
          <w:sz w:val="40"/>
          <w:szCs w:val="40"/>
          <w:b w:val="1"/>
          <w:bCs w:val="1"/>
          <w:color w:val="0070C0"/>
        </w:rPr>
        <w:t>【名校研学系列】</w:t>
      </w:r>
      <w:r>
        <w:rPr>
          <w:rFonts w:ascii="宋体" w:cs="宋体" w:eastAsia="宋体" w:hAnsi="宋体"/>
          <w:sz w:val="36"/>
          <w:szCs w:val="36"/>
          <w:b w:val="1"/>
          <w:bCs w:val="1"/>
          <w:color w:val="0070C0"/>
        </w:rPr>
        <w:t>剑桥“企业家”成长修炼营</w:t>
      </w:r>
    </w:p>
    <w:p>
      <w:pPr>
        <w:spacing w:after="0" w:line="219" w:lineRule="exact"/>
        <w:rPr>
          <w:sz w:val="24"/>
          <w:szCs w:val="24"/>
          <w:color w:val="auto"/>
        </w:rPr>
      </w:pPr>
    </w:p>
    <w:p>
      <w:pPr>
        <w:jc w:val="center"/>
        <w:ind w:right="206"/>
        <w:spacing w:after="0" w:line="229" w:lineRule="exact"/>
        <w:rPr>
          <w:sz w:val="20"/>
          <w:szCs w:val="20"/>
          <w:color w:val="auto"/>
        </w:rPr>
      </w:pPr>
      <w:r>
        <w:rPr>
          <w:rFonts w:ascii="宋体" w:cs="宋体" w:eastAsia="宋体" w:hAnsi="宋体"/>
          <w:sz w:val="20"/>
          <w:szCs w:val="20"/>
          <w:color w:val="0070C0"/>
        </w:rPr>
        <w:t>招募 16 周岁以上学员</w:t>
      </w:r>
    </w:p>
    <w:p>
      <w:pPr>
        <w:spacing w:after="0" w:line="240" w:lineRule="exact"/>
        <w:rPr>
          <w:sz w:val="24"/>
          <w:szCs w:val="24"/>
          <w:color w:val="auto"/>
        </w:rPr>
      </w:pPr>
    </w:p>
    <w:p>
      <w:pPr>
        <w:jc w:val="center"/>
        <w:ind w:right="6"/>
        <w:spacing w:after="0" w:line="229" w:lineRule="exact"/>
        <w:rPr>
          <w:sz w:val="20"/>
          <w:szCs w:val="20"/>
          <w:color w:val="auto"/>
        </w:rPr>
      </w:pPr>
      <w:r>
        <w:rPr>
          <w:rFonts w:ascii="宋体" w:cs="宋体" w:eastAsia="宋体" w:hAnsi="宋体"/>
          <w:sz w:val="20"/>
          <w:szCs w:val="20"/>
          <w:color w:val="0070C0"/>
        </w:rPr>
        <w:t>体验企业家和志愿者服务</w:t>
      </w:r>
    </w:p>
    <w:p>
      <w:pPr>
        <w:spacing w:after="0" w:line="240" w:lineRule="exact"/>
        <w:rPr>
          <w:sz w:val="24"/>
          <w:szCs w:val="24"/>
          <w:color w:val="auto"/>
        </w:rPr>
      </w:pPr>
    </w:p>
    <w:p>
      <w:pPr>
        <w:jc w:val="center"/>
        <w:ind w:right="-1393"/>
        <w:spacing w:after="0" w:line="229" w:lineRule="exact"/>
        <w:tabs>
          <w:tab w:leader="none" w:pos="280" w:val="left"/>
        </w:tabs>
        <w:rPr>
          <w:sz w:val="20"/>
          <w:szCs w:val="20"/>
          <w:color w:val="auto"/>
        </w:rPr>
      </w:pPr>
      <w:r>
        <w:rPr>
          <w:rFonts w:ascii="宋体" w:cs="宋体" w:eastAsia="宋体" w:hAnsi="宋体"/>
          <w:sz w:val="20"/>
          <w:szCs w:val="20"/>
          <w:color w:val="0070C0"/>
        </w:rPr>
        <w:t>提升个人综合能力和社会责任感</w:t>
      </w:r>
      <w:r>
        <w:rPr>
          <w:sz w:val="20"/>
          <w:szCs w:val="20"/>
          <w:color w:val="auto"/>
        </w:rPr>
        <w:tab/>
      </w:r>
      <w:r>
        <w:rPr>
          <w:rFonts w:ascii="宋体" w:cs="宋体" w:eastAsia="宋体" w:hAnsi="宋体"/>
          <w:sz w:val="20"/>
          <w:szCs w:val="20"/>
          <w:color w:val="0070C0"/>
        </w:rPr>
        <w:t>成就菁英少年核心竞争力！</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251460</wp:posOffset>
            </wp:positionH>
            <wp:positionV relativeFrom="paragraph">
              <wp:posOffset>202565</wp:posOffset>
            </wp:positionV>
            <wp:extent cx="5614035" cy="37433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5614035" cy="374332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0" w:lineRule="exact"/>
        <w:rPr>
          <w:sz w:val="24"/>
          <w:szCs w:val="24"/>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项目特色</w:t>
      </w:r>
    </w:p>
    <w:p>
      <w:pPr>
        <w:spacing w:after="0" w:line="269" w:lineRule="exact"/>
        <w:rPr>
          <w:sz w:val="24"/>
          <w:szCs w:val="24"/>
          <w:color w:val="auto"/>
        </w:rPr>
      </w:pPr>
    </w:p>
    <w:p>
      <w:pPr>
        <w:ind w:left="360" w:right="346"/>
        <w:spacing w:after="0" w:line="463" w:lineRule="exact"/>
        <w:rPr>
          <w:sz w:val="20"/>
          <w:szCs w:val="20"/>
          <w:color w:val="auto"/>
        </w:rPr>
      </w:pPr>
      <w:r>
        <w:rPr>
          <w:rFonts w:ascii="MS PGothic" w:cs="MS PGothic" w:eastAsia="MS PGothic" w:hAnsi="MS PGothic"/>
          <w:sz w:val="46"/>
          <w:szCs w:val="46"/>
          <w:color w:val="auto"/>
          <w:vertAlign w:val="superscript"/>
        </w:rPr>
        <w:t xml:space="preserve">➢ </w:t>
      </w:r>
      <w:r>
        <w:rPr>
          <w:rFonts w:ascii="宋体" w:cs="宋体" w:eastAsia="宋体" w:hAnsi="宋体"/>
          <w:sz w:val="20"/>
          <w:szCs w:val="20"/>
          <w:b w:val="1"/>
          <w:bCs w:val="1"/>
          <w:color w:val="auto"/>
        </w:rPr>
        <w:t>【系统商务管理课</w:t>
      </w:r>
      <w:r>
        <w:rPr>
          <w:rFonts w:ascii="宋体" w:cs="宋体" w:eastAsia="宋体" w:hAnsi="宋体"/>
          <w:sz w:val="20"/>
          <w:szCs w:val="20"/>
          <w:color w:val="auto"/>
        </w:rPr>
        <w:t>】学习国内外的案例实践，形成正确的市场营销观念，提高管理技能</w:t>
      </w:r>
      <w:r>
        <w:rPr>
          <w:rFonts w:ascii="MS PGothic" w:cs="MS PGothic" w:eastAsia="MS PGothic" w:hAnsi="MS PGothic"/>
          <w:sz w:val="46"/>
          <w:szCs w:val="46"/>
          <w:color w:val="auto"/>
        </w:rPr>
        <w:t xml:space="preserve"> </w:t>
      </w:r>
      <w:r>
        <w:rPr>
          <w:rFonts w:ascii="MS PGothic" w:cs="MS PGothic" w:eastAsia="MS PGothic" w:hAnsi="MS PGothic"/>
          <w:sz w:val="40"/>
          <w:szCs w:val="40"/>
          <w:color w:val="auto"/>
          <w:vertAlign w:val="superscript"/>
        </w:rPr>
        <w:t xml:space="preserve">➢ </w:t>
      </w:r>
      <w:r>
        <w:rPr>
          <w:rFonts w:ascii="宋体" w:cs="宋体" w:eastAsia="宋体" w:hAnsi="宋体"/>
          <w:sz w:val="40"/>
          <w:szCs w:val="40"/>
          <w:b w:val="1"/>
          <w:bCs w:val="1"/>
          <w:color w:val="auto"/>
        </w:rPr>
        <w:t>【剑桥教授演讲】</w:t>
      </w:r>
      <w:r>
        <w:rPr>
          <w:rFonts w:ascii="宋体" w:cs="宋体" w:eastAsia="宋体" w:hAnsi="宋体"/>
          <w:sz w:val="20"/>
          <w:szCs w:val="20"/>
          <w:color w:val="auto"/>
        </w:rPr>
        <w:t>关于如何成功的申请名校–剑桥或牛津大学</w:t>
      </w:r>
      <w:r>
        <w:rPr>
          <w:rFonts w:ascii="MS PGothic" w:cs="MS PGothic" w:eastAsia="MS PGothic" w:hAnsi="MS PGothic"/>
          <w:sz w:val="40"/>
          <w:szCs w:val="40"/>
          <w:color w:val="auto"/>
        </w:rPr>
        <w:t xml:space="preserve"> </w:t>
      </w:r>
      <w:r>
        <w:rPr>
          <w:rFonts w:ascii="MS PGothic" w:cs="MS PGothic" w:eastAsia="MS PGothic" w:hAnsi="MS PGothic"/>
          <w:sz w:val="40"/>
          <w:szCs w:val="40"/>
          <w:color w:val="auto"/>
          <w:vertAlign w:val="superscript"/>
        </w:rPr>
        <w:t xml:space="preserve">➢ </w:t>
      </w:r>
      <w:r>
        <w:rPr>
          <w:rFonts w:ascii="宋体" w:cs="宋体" w:eastAsia="宋体" w:hAnsi="宋体"/>
          <w:sz w:val="40"/>
          <w:szCs w:val="40"/>
          <w:b w:val="1"/>
          <w:bCs w:val="1"/>
          <w:color w:val="auto"/>
        </w:rPr>
        <w:t>【剑桥市长办公室参访】</w:t>
      </w:r>
      <w:r>
        <w:rPr>
          <w:rFonts w:ascii="宋体" w:cs="宋体" w:eastAsia="宋体" w:hAnsi="宋体"/>
          <w:sz w:val="20"/>
          <w:szCs w:val="20"/>
          <w:color w:val="auto"/>
        </w:rPr>
        <w:t>剑桥市长/市长代表演讲剑桥文化发展</w:t>
      </w:r>
    </w:p>
    <w:p>
      <w:pPr>
        <w:spacing w:after="0" w:line="41" w:lineRule="exact"/>
        <w:rPr>
          <w:sz w:val="24"/>
          <w:szCs w:val="24"/>
          <w:color w:val="auto"/>
        </w:rPr>
      </w:pPr>
    </w:p>
    <w:p>
      <w:pPr>
        <w:ind w:left="360"/>
        <w:spacing w:after="0" w:line="377" w:lineRule="exact"/>
        <w:rPr>
          <w:sz w:val="20"/>
          <w:szCs w:val="20"/>
          <w:color w:val="auto"/>
        </w:rPr>
      </w:pPr>
      <w:r>
        <w:rPr>
          <w:rFonts w:ascii="MS PGothic" w:cs="MS PGothic" w:eastAsia="MS PGothic" w:hAnsi="MS PGothic"/>
          <w:sz w:val="33"/>
          <w:szCs w:val="33"/>
          <w:color w:val="auto"/>
          <w:vertAlign w:val="superscript"/>
        </w:rPr>
        <w:t xml:space="preserve">➢  </w:t>
      </w:r>
      <w:r>
        <w:rPr>
          <w:rFonts w:ascii="宋体" w:cs="宋体" w:eastAsia="宋体" w:hAnsi="宋体"/>
          <w:sz w:val="33"/>
          <w:szCs w:val="33"/>
          <w:b w:val="1"/>
          <w:bCs w:val="1"/>
          <w:color w:val="auto"/>
        </w:rPr>
        <w:t>【剑桥政府志愿服务】</w:t>
      </w:r>
      <w:r>
        <w:rPr>
          <w:rFonts w:ascii="宋体" w:cs="宋体" w:eastAsia="宋体" w:hAnsi="宋体"/>
          <w:sz w:val="16"/>
          <w:szCs w:val="16"/>
          <w:color w:val="auto"/>
        </w:rPr>
        <w:t>参加政府志愿项目，走进当地社区中心，开展环保志愿服务活动</w:t>
      </w:r>
    </w:p>
    <w:p>
      <w:pPr>
        <w:spacing w:after="0" w:line="92" w:lineRule="exact"/>
        <w:rPr>
          <w:sz w:val="24"/>
          <w:szCs w:val="24"/>
          <w:color w:val="auto"/>
        </w:rPr>
      </w:pPr>
    </w:p>
    <w:p>
      <w:pPr>
        <w:ind w:left="360"/>
        <w:spacing w:after="0" w:line="400" w:lineRule="exact"/>
        <w:rPr>
          <w:sz w:val="20"/>
          <w:szCs w:val="20"/>
          <w:color w:val="auto"/>
        </w:rPr>
      </w:pPr>
      <w:r>
        <w:rPr>
          <w:rFonts w:ascii="MS PGothic" w:cs="MS PGothic" w:eastAsia="MS PGothic" w:hAnsi="MS PGothic"/>
          <w:sz w:val="35"/>
          <w:szCs w:val="35"/>
          <w:color w:val="auto"/>
          <w:vertAlign w:val="superscript"/>
        </w:rPr>
        <w:t xml:space="preserve">➢  </w:t>
      </w:r>
      <w:r>
        <w:rPr>
          <w:rFonts w:ascii="宋体" w:cs="宋体" w:eastAsia="宋体" w:hAnsi="宋体"/>
          <w:sz w:val="35"/>
          <w:szCs w:val="35"/>
          <w:b w:val="1"/>
          <w:bCs w:val="1"/>
          <w:color w:val="auto"/>
        </w:rPr>
        <w:t>【大学正式晚宴】</w:t>
      </w:r>
      <w:r>
        <w:rPr>
          <w:rFonts w:ascii="宋体" w:cs="宋体" w:eastAsia="宋体" w:hAnsi="宋体"/>
          <w:sz w:val="19"/>
          <w:szCs w:val="19"/>
          <w:color w:val="auto"/>
        </w:rPr>
        <w:t>感受英国人民传统高贵的英式文化氛围，品尝米其林一星美食</w:t>
      </w:r>
    </w:p>
    <w:p>
      <w:pPr>
        <w:sectPr>
          <w:pgSz w:w="11900" w:h="16838" w:orient="portrait"/>
          <w:cols w:equalWidth="0" w:num="1">
            <w:col w:w="9026"/>
          </w:cols>
          <w:pgMar w:left="1440" w:top="1440" w:right="1440" w:bottom="1440" w:gutter="0" w:footer="0" w:header="0"/>
        </w:sectPr>
      </w:pPr>
    </w:p>
    <w:bookmarkStart w:id="1" w:name="page2"/>
    <w:bookmarkEnd w:id="1"/>
    <w:p>
      <w:pPr>
        <w:spacing w:after="0" w:line="132" w:lineRule="exact"/>
        <w:rPr>
          <w:sz w:val="20"/>
          <w:szCs w:val="20"/>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研学收获</w:t>
      </w:r>
    </w:p>
    <w:p>
      <w:pPr>
        <w:spacing w:after="0" w:line="271" w:lineRule="exact"/>
        <w:rPr>
          <w:sz w:val="20"/>
          <w:szCs w:val="20"/>
          <w:color w:val="auto"/>
        </w:rPr>
      </w:pPr>
    </w:p>
    <w:p>
      <w:pPr>
        <w:jc w:val="center"/>
        <w:ind w:right="6"/>
        <w:spacing w:after="0" w:line="240" w:lineRule="exact"/>
        <w:rPr>
          <w:sz w:val="20"/>
          <w:szCs w:val="20"/>
          <w:color w:val="auto"/>
        </w:rPr>
      </w:pPr>
      <w:r>
        <w:rPr>
          <w:rFonts w:ascii="宋体" w:cs="宋体" w:eastAsia="宋体" w:hAnsi="宋体"/>
          <w:sz w:val="21"/>
          <w:szCs w:val="21"/>
          <w:color w:val="auto"/>
        </w:rPr>
        <w:t>1、提高学术知识和对商务的理解，提高</w:t>
      </w:r>
      <w:r>
        <w:rPr>
          <w:rFonts w:ascii="宋体" w:cs="宋体" w:eastAsia="宋体" w:hAnsi="宋体"/>
          <w:sz w:val="21"/>
          <w:szCs w:val="21"/>
          <w:b w:val="1"/>
          <w:bCs w:val="1"/>
          <w:color w:val="auto"/>
        </w:rPr>
        <w:t>策略层面的管理技能</w:t>
      </w:r>
      <w:r>
        <w:rPr>
          <w:rFonts w:ascii="宋体" w:cs="宋体" w:eastAsia="宋体" w:hAnsi="宋体"/>
          <w:sz w:val="21"/>
          <w:szCs w:val="21"/>
          <w:color w:val="auto"/>
        </w:rPr>
        <w:t>和不同</w:t>
      </w:r>
      <w:r>
        <w:rPr>
          <w:rFonts w:ascii="宋体" w:cs="宋体" w:eastAsia="宋体" w:hAnsi="宋体"/>
          <w:sz w:val="21"/>
          <w:szCs w:val="21"/>
          <w:b w:val="1"/>
          <w:bCs w:val="1"/>
          <w:color w:val="auto"/>
        </w:rPr>
        <w:t>商务领域中的理解分析</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能力，学习管理人必需的知识和能力</w:t>
      </w:r>
    </w:p>
    <w:p>
      <w:pPr>
        <w:spacing w:after="0" w:line="228" w:lineRule="exact"/>
        <w:rPr>
          <w:sz w:val="20"/>
          <w:szCs w:val="20"/>
          <w:color w:val="auto"/>
        </w:rPr>
      </w:pPr>
    </w:p>
    <w:p>
      <w:pPr>
        <w:jc w:val="center"/>
        <w:ind w:right="6"/>
        <w:spacing w:after="0" w:line="240" w:lineRule="exact"/>
        <w:rPr>
          <w:sz w:val="20"/>
          <w:szCs w:val="20"/>
          <w:color w:val="auto"/>
        </w:rPr>
      </w:pPr>
      <w:r>
        <w:rPr>
          <w:rFonts w:ascii="宋体" w:cs="宋体" w:eastAsia="宋体" w:hAnsi="宋体"/>
          <w:sz w:val="21"/>
          <w:szCs w:val="21"/>
          <w:color w:val="auto"/>
        </w:rPr>
        <w:t>2、分组讨论，演讲比赛--通过大量</w:t>
      </w:r>
      <w:r>
        <w:rPr>
          <w:rFonts w:ascii="宋体" w:cs="宋体" w:eastAsia="宋体" w:hAnsi="宋体"/>
          <w:sz w:val="21"/>
          <w:szCs w:val="21"/>
          <w:b w:val="1"/>
          <w:bCs w:val="1"/>
          <w:color w:val="auto"/>
        </w:rPr>
        <w:t>案例讨论</w:t>
      </w:r>
      <w:r>
        <w:rPr>
          <w:rFonts w:ascii="宋体" w:cs="宋体" w:eastAsia="宋体" w:hAnsi="宋体"/>
          <w:sz w:val="21"/>
          <w:szCs w:val="21"/>
          <w:color w:val="auto"/>
        </w:rPr>
        <w:t>，建立战略思维的基本架构，把握企业战略实</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践的核心和战略实施的关键点</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3、</w:t>
      </w:r>
      <w:r>
        <w:rPr>
          <w:rFonts w:ascii="宋体" w:cs="宋体" w:eastAsia="宋体" w:hAnsi="宋体"/>
          <w:sz w:val="19"/>
          <w:szCs w:val="19"/>
          <w:color w:val="auto"/>
        </w:rPr>
        <w:t>以“环保”为主题</w:t>
      </w:r>
      <w:r>
        <w:rPr>
          <w:rFonts w:ascii="宋体" w:cs="宋体" w:eastAsia="宋体" w:hAnsi="宋体"/>
          <w:sz w:val="21"/>
          <w:szCs w:val="21"/>
          <w:color w:val="auto"/>
        </w:rPr>
        <w:t>的志愿服务活动，提升学员的</w:t>
      </w:r>
      <w:r>
        <w:rPr>
          <w:rFonts w:ascii="宋体" w:cs="宋体" w:eastAsia="宋体" w:hAnsi="宋体"/>
          <w:sz w:val="21"/>
          <w:szCs w:val="21"/>
          <w:b w:val="1"/>
          <w:bCs w:val="1"/>
          <w:color w:val="auto"/>
        </w:rPr>
        <w:t>环保意识和社会责任感</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4、获得</w:t>
      </w:r>
      <w:r>
        <w:rPr>
          <w:rFonts w:ascii="宋体" w:cs="宋体" w:eastAsia="宋体" w:hAnsi="宋体"/>
          <w:sz w:val="21"/>
          <w:szCs w:val="21"/>
          <w:b w:val="1"/>
          <w:bCs w:val="1"/>
          <w:color w:val="auto"/>
        </w:rPr>
        <w:t>授课老师颁发</w:t>
      </w:r>
      <w:r>
        <w:rPr>
          <w:rFonts w:ascii="宋体" w:cs="宋体" w:eastAsia="宋体" w:hAnsi="宋体"/>
          <w:sz w:val="21"/>
          <w:szCs w:val="21"/>
          <w:color w:val="auto"/>
        </w:rPr>
        <w:t>的结业证书</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104775</wp:posOffset>
            </wp:positionH>
            <wp:positionV relativeFrom="paragraph">
              <wp:posOffset>261620</wp:posOffset>
            </wp:positionV>
            <wp:extent cx="5704840" cy="18999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5704840" cy="1899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营地介绍</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2596515</wp:posOffset>
            </wp:positionH>
            <wp:positionV relativeFrom="paragraph">
              <wp:posOffset>277495</wp:posOffset>
            </wp:positionV>
            <wp:extent cx="3260725" cy="18929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3260725" cy="18929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b w:val="1"/>
          <w:bCs w:val="1"/>
          <w:color w:val="17365D"/>
        </w:rPr>
        <w:t>地点：</w:t>
      </w:r>
      <w:r>
        <w:rPr>
          <w:rFonts w:ascii="宋体" w:cs="宋体" w:eastAsia="宋体" w:hAnsi="宋体"/>
          <w:sz w:val="20"/>
          <w:szCs w:val="20"/>
          <w:b w:val="1"/>
          <w:bCs w:val="1"/>
          <w:color w:val="484329"/>
        </w:rPr>
        <w:t>剑桥大学，英国</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484329"/>
        </w:rPr>
        <w:t>参考学院：基督学院 Christ's College、</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484329"/>
        </w:rPr>
        <w:t>丘吉尔学院 Churchill College、默里爱</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484329"/>
        </w:rPr>
        <w:t>德华兹学院 Murray Edwards College、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师资配置</w:t>
      </w:r>
    </w:p>
    <w:p>
      <w:pPr>
        <w:spacing w:after="0" w:line="271"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剑桥大学教授、讲师(可定制)</w:t>
      </w:r>
    </w:p>
    <w:p>
      <w:pPr>
        <w:sectPr>
          <w:pgSz w:w="11900" w:h="16838" w:orient="portrait"/>
          <w:cols w:equalWidth="0" w:num="1">
            <w:col w:w="9026"/>
          </w:cols>
          <w:pgMar w:left="1440" w:top="1440" w:right="1440" w:bottom="1440" w:gutter="0" w:footer="0" w:header="0"/>
        </w:sectPr>
      </w:pPr>
    </w:p>
    <w:bookmarkStart w:id="2" w:name="page3"/>
    <w:bookmarkEnd w:id="2"/>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1143000</wp:posOffset>
            </wp:positionH>
            <wp:positionV relativeFrom="page">
              <wp:posOffset>989330</wp:posOffset>
            </wp:positionV>
            <wp:extent cx="4549775" cy="14268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4549775" cy="1426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营地住宿安排</w:t>
      </w:r>
    </w:p>
    <w:p>
      <w:pPr>
        <w:spacing w:after="0" w:line="271" w:lineRule="exact"/>
        <w:rPr>
          <w:sz w:val="20"/>
          <w:szCs w:val="20"/>
          <w:color w:val="auto"/>
        </w:rPr>
      </w:pPr>
    </w:p>
    <w:p>
      <w:pPr>
        <w:ind w:left="360"/>
        <w:spacing w:after="0" w:line="240" w:lineRule="exact"/>
        <w:rPr>
          <w:sz w:val="20"/>
          <w:szCs w:val="20"/>
          <w:color w:val="auto"/>
        </w:rPr>
      </w:pPr>
      <w:r>
        <w:rPr>
          <w:rFonts w:ascii="宋体" w:cs="宋体" w:eastAsia="宋体" w:hAnsi="宋体"/>
          <w:sz w:val="20"/>
          <w:szCs w:val="20"/>
          <w:color w:val="auto"/>
        </w:rPr>
        <w:t xml:space="preserve">国际学生公寓 </w:t>
      </w:r>
      <w:r>
        <w:rPr>
          <w:rFonts w:ascii="宋体" w:cs="宋体" w:eastAsia="宋体" w:hAnsi="宋体"/>
          <w:sz w:val="21"/>
          <w:szCs w:val="21"/>
          <w:color w:val="auto"/>
        </w:rPr>
        <w:t>三餐在学生餐厅享用。</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166370</wp:posOffset>
            </wp:positionV>
            <wp:extent cx="5057140" cy="399859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5057140" cy="3998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5" w:lineRule="exact"/>
        <w:rPr>
          <w:sz w:val="20"/>
          <w:szCs w:val="20"/>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营地课程&amp;活动体验</w:t>
      </w:r>
    </w:p>
    <w:p>
      <w:pPr>
        <w:spacing w:after="0" w:line="305" w:lineRule="exact"/>
        <w:rPr>
          <w:sz w:val="20"/>
          <w:szCs w:val="20"/>
          <w:color w:val="auto"/>
        </w:rPr>
      </w:pPr>
    </w:p>
    <w:p>
      <w:pPr>
        <w:jc w:val="center"/>
        <w:ind w:right="6"/>
        <w:spacing w:after="0" w:line="320" w:lineRule="exact"/>
        <w:rPr>
          <w:sz w:val="20"/>
          <w:szCs w:val="20"/>
          <w:color w:val="auto"/>
        </w:rPr>
      </w:pPr>
      <w:r>
        <w:rPr>
          <w:rFonts w:ascii="宋体" w:cs="宋体" w:eastAsia="宋体" w:hAnsi="宋体"/>
          <w:sz w:val="28"/>
          <w:szCs w:val="28"/>
          <w:b w:val="1"/>
          <w:bCs w:val="1"/>
          <w:color w:val="365F91"/>
        </w:rPr>
        <w:t>（一）剑桥商务课程</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284480</wp:posOffset>
            </wp:positionH>
            <wp:positionV relativeFrom="paragraph">
              <wp:posOffset>245110</wp:posOffset>
            </wp:positionV>
            <wp:extent cx="5066030" cy="22117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extLst>
                    </a:blip>
                    <a:srcRect/>
                    <a:stretch>
                      <a:fillRect/>
                    </a:stretch>
                  </pic:blipFill>
                  <pic:spPr bwMode="auto">
                    <a:xfrm>
                      <a:off x="0" y="0"/>
                      <a:ext cx="5066030" cy="2211705"/>
                    </a:xfrm>
                    <a:prstGeom prst="rect">
                      <a:avLst/>
                    </a:prstGeom>
                    <a:noFill/>
                  </pic:spPr>
                </pic:pic>
              </a:graphicData>
            </a:graphic>
          </wp:anchor>
        </w:drawing>
      </w:r>
    </w:p>
    <w:p>
      <w:pPr>
        <w:sectPr>
          <w:pgSz w:w="11900" w:h="16838" w:orient="portrait"/>
          <w:cols w:equalWidth="0" w:num="1">
            <w:col w:w="9026"/>
          </w:cols>
          <w:pgMar w:left="1440" w:top="1440" w:right="1440" w:bottom="1440" w:gutter="0" w:footer="0" w:header="0"/>
        </w:sectPr>
      </w:pPr>
    </w:p>
    <w:bookmarkStart w:id="3" w:name="page4"/>
    <w:bookmarkEnd w:id="3"/>
    <w:p>
      <w:pPr>
        <w:spacing w:after="0" w:line="94"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商务管理课程 1</w:t>
      </w:r>
    </w:p>
    <w:p>
      <w:pPr>
        <w:spacing w:after="0" w:line="231"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提高学生的学术知识和对当前商务发展的分析理解，提高他们在策略层面的管理技能和不同商务</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领域中的概念理解及分析技能，学习作为管理人必需的知识和能力</w:t>
      </w:r>
    </w:p>
    <w:p>
      <w:pPr>
        <w:spacing w:after="0" w:line="226"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企业战略管理课程 2</w:t>
      </w:r>
    </w:p>
    <w:p>
      <w:pPr>
        <w:spacing w:after="0" w:line="231"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分组讨论、演讲比赛、通过对大量案例的讨论，建立战略思维的基本架构，把握企业战略实践的</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核心和战略实施的关键点</w:t>
      </w:r>
    </w:p>
    <w:p>
      <w:pPr>
        <w:spacing w:after="0" w:line="226"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市场营销管理课程 3</w:t>
      </w:r>
    </w:p>
    <w:p>
      <w:pPr>
        <w:spacing w:after="0" w:line="231"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通过精选案例的分析与讨论，把握营销的理论框架，深入认识国内外的营销实践，形成正确的市</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场营销观念，提高营销管理技能</w:t>
      </w:r>
    </w:p>
    <w:p>
      <w:pPr>
        <w:spacing w:after="0" w:line="226"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管理沟通&amp;名校申请 4</w:t>
      </w:r>
    </w:p>
    <w:p>
      <w:pPr>
        <w:spacing w:after="0" w:line="231"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如何申请名校</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大学老师演讲，关于如何成功申请名校–剑桥或牛津大学</w:t>
      </w:r>
    </w:p>
    <w:p>
      <w:pPr>
        <w:spacing w:after="0" w:line="264" w:lineRule="exact"/>
        <w:rPr>
          <w:sz w:val="20"/>
          <w:szCs w:val="20"/>
          <w:color w:val="auto"/>
        </w:rPr>
      </w:pPr>
    </w:p>
    <w:p>
      <w:pPr>
        <w:jc w:val="center"/>
        <w:ind w:right="6"/>
        <w:spacing w:after="0" w:line="320" w:lineRule="exact"/>
        <w:rPr>
          <w:sz w:val="20"/>
          <w:szCs w:val="20"/>
          <w:color w:val="auto"/>
        </w:rPr>
      </w:pPr>
      <w:r>
        <w:rPr>
          <w:rFonts w:ascii="宋体" w:cs="宋体" w:eastAsia="宋体" w:hAnsi="宋体"/>
          <w:sz w:val="28"/>
          <w:szCs w:val="28"/>
          <w:b w:val="1"/>
          <w:bCs w:val="1"/>
          <w:color w:val="365F91"/>
        </w:rPr>
        <w:t>（二）剑桥志愿者服务</w:t>
      </w:r>
    </w:p>
    <w:p>
      <w:pPr>
        <w:spacing w:after="0" w:line="280" w:lineRule="exact"/>
        <w:rPr>
          <w:sz w:val="20"/>
          <w:szCs w:val="20"/>
          <w:color w:val="auto"/>
        </w:rPr>
      </w:pPr>
    </w:p>
    <w:p>
      <w:pPr>
        <w:jc w:val="right"/>
        <w:ind w:right="266"/>
        <w:spacing w:after="0" w:line="229" w:lineRule="exact"/>
        <w:rPr>
          <w:sz w:val="20"/>
          <w:szCs w:val="20"/>
          <w:color w:val="auto"/>
        </w:rPr>
      </w:pPr>
      <w:r>
        <w:rPr>
          <w:rFonts w:ascii="宋体" w:cs="宋体" w:eastAsia="宋体" w:hAnsi="宋体"/>
          <w:sz w:val="20"/>
          <w:szCs w:val="20"/>
          <w:color w:val="auto"/>
        </w:rPr>
        <w:t>围绕“传递善良与爱心”为主题展开包括：</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191770</wp:posOffset>
            </wp:positionH>
            <wp:positionV relativeFrom="paragraph">
              <wp:posOffset>9525</wp:posOffset>
            </wp:positionV>
            <wp:extent cx="2966085" cy="22663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extLst>
                    </a:blip>
                    <a:srcRect/>
                    <a:stretch>
                      <a:fillRect/>
                    </a:stretch>
                  </pic:blipFill>
                  <pic:spPr bwMode="auto">
                    <a:xfrm>
                      <a:off x="0" y="0"/>
                      <a:ext cx="2966085" cy="2266315"/>
                    </a:xfrm>
                    <a:prstGeom prst="rect">
                      <a:avLst/>
                    </a:prstGeom>
                    <a:noFill/>
                  </pic:spPr>
                </pic:pic>
              </a:graphicData>
            </a:graphic>
          </wp:anchor>
        </w:drawing>
      </w:r>
    </w:p>
    <w:p>
      <w:pPr>
        <w:spacing w:after="0" w:line="220" w:lineRule="exact"/>
        <w:rPr>
          <w:sz w:val="20"/>
          <w:szCs w:val="20"/>
          <w:color w:val="auto"/>
        </w:rPr>
      </w:pPr>
    </w:p>
    <w:p>
      <w:pPr>
        <w:ind w:left="5160"/>
        <w:spacing w:after="0" w:line="229" w:lineRule="exact"/>
        <w:rPr>
          <w:sz w:val="20"/>
          <w:szCs w:val="20"/>
          <w:color w:val="auto"/>
        </w:rPr>
      </w:pPr>
      <w:r>
        <w:rPr>
          <w:rFonts w:ascii="宋体" w:cs="宋体" w:eastAsia="宋体" w:hAnsi="宋体"/>
          <w:sz w:val="20"/>
          <w:szCs w:val="20"/>
          <w:color w:val="auto"/>
        </w:rPr>
        <w:t>-- 剑桥当地社区中心，这是英国人生活</w:t>
      </w:r>
    </w:p>
    <w:p>
      <w:pPr>
        <w:spacing w:after="0" w:line="240" w:lineRule="exact"/>
        <w:rPr>
          <w:sz w:val="20"/>
          <w:szCs w:val="20"/>
          <w:color w:val="auto"/>
        </w:rPr>
      </w:pPr>
    </w:p>
    <w:p>
      <w:pPr>
        <w:ind w:left="5160"/>
        <w:spacing w:after="0" w:line="229" w:lineRule="exact"/>
        <w:rPr>
          <w:sz w:val="20"/>
          <w:szCs w:val="20"/>
          <w:color w:val="auto"/>
        </w:rPr>
      </w:pPr>
      <w:r>
        <w:rPr>
          <w:rFonts w:ascii="宋体" w:cs="宋体" w:eastAsia="宋体" w:hAnsi="宋体"/>
          <w:sz w:val="20"/>
          <w:szCs w:val="20"/>
          <w:color w:val="auto"/>
        </w:rPr>
        <w:t>的一个重要环节，也担当了社区人际交往</w:t>
      </w:r>
    </w:p>
    <w:p>
      <w:pPr>
        <w:spacing w:after="0" w:line="240" w:lineRule="exact"/>
        <w:rPr>
          <w:sz w:val="20"/>
          <w:szCs w:val="20"/>
          <w:color w:val="auto"/>
        </w:rPr>
      </w:pPr>
    </w:p>
    <w:p>
      <w:pPr>
        <w:ind w:left="5160"/>
        <w:spacing w:after="0" w:line="229" w:lineRule="exact"/>
        <w:rPr>
          <w:sz w:val="20"/>
          <w:szCs w:val="20"/>
          <w:color w:val="auto"/>
        </w:rPr>
      </w:pPr>
      <w:r>
        <w:rPr>
          <w:rFonts w:ascii="宋体" w:cs="宋体" w:eastAsia="宋体" w:hAnsi="宋体"/>
          <w:sz w:val="20"/>
          <w:szCs w:val="20"/>
          <w:color w:val="auto"/>
        </w:rPr>
        <w:t>的功能。（或者剑桥 Council 政府志愿</w:t>
      </w:r>
    </w:p>
    <w:p>
      <w:pPr>
        <w:spacing w:after="0" w:line="240" w:lineRule="exact"/>
        <w:rPr>
          <w:sz w:val="20"/>
          <w:szCs w:val="20"/>
          <w:color w:val="auto"/>
        </w:rPr>
      </w:pPr>
    </w:p>
    <w:p>
      <w:pPr>
        <w:ind w:left="5160"/>
        <w:spacing w:after="0" w:line="229" w:lineRule="exact"/>
        <w:rPr>
          <w:sz w:val="20"/>
          <w:szCs w:val="20"/>
          <w:color w:val="auto"/>
        </w:rPr>
      </w:pPr>
      <w:r>
        <w:rPr>
          <w:rFonts w:ascii="宋体" w:cs="宋体" w:eastAsia="宋体" w:hAnsi="宋体"/>
          <w:sz w:val="20"/>
          <w:szCs w:val="20"/>
          <w:color w:val="auto"/>
        </w:rPr>
        <w:t>服务目，以“环保”为主题，通过开展环</w:t>
      </w:r>
    </w:p>
    <w:p>
      <w:pPr>
        <w:spacing w:after="0" w:line="240" w:lineRule="exact"/>
        <w:rPr>
          <w:sz w:val="20"/>
          <w:szCs w:val="20"/>
          <w:color w:val="auto"/>
        </w:rPr>
      </w:pPr>
    </w:p>
    <w:p>
      <w:pPr>
        <w:ind w:left="5160"/>
        <w:spacing w:after="0" w:line="229" w:lineRule="exact"/>
        <w:rPr>
          <w:sz w:val="20"/>
          <w:szCs w:val="20"/>
          <w:color w:val="auto"/>
        </w:rPr>
      </w:pPr>
      <w:r>
        <w:rPr>
          <w:rFonts w:ascii="宋体" w:cs="宋体" w:eastAsia="宋体" w:hAnsi="宋体"/>
          <w:sz w:val="20"/>
          <w:szCs w:val="20"/>
          <w:color w:val="auto"/>
        </w:rPr>
        <w:t>保志愿服务活动，教育和引导学生保护环</w:t>
      </w:r>
    </w:p>
    <w:p>
      <w:pPr>
        <w:spacing w:after="0" w:line="240" w:lineRule="exact"/>
        <w:rPr>
          <w:sz w:val="20"/>
          <w:szCs w:val="20"/>
          <w:color w:val="auto"/>
        </w:rPr>
      </w:pPr>
    </w:p>
    <w:p>
      <w:pPr>
        <w:ind w:left="5160"/>
        <w:spacing w:after="0" w:line="229" w:lineRule="exact"/>
        <w:rPr>
          <w:sz w:val="20"/>
          <w:szCs w:val="20"/>
          <w:color w:val="auto"/>
        </w:rPr>
      </w:pPr>
      <w:r>
        <w:rPr>
          <w:rFonts w:ascii="宋体" w:cs="宋体" w:eastAsia="宋体" w:hAnsi="宋体"/>
          <w:sz w:val="20"/>
          <w:szCs w:val="20"/>
          <w:color w:val="auto"/>
        </w:rPr>
        <w:t>境，增强环保意识）</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360"/>
        <w:spacing w:after="0" w:line="320" w:lineRule="exact"/>
        <w:rPr>
          <w:sz w:val="20"/>
          <w:szCs w:val="20"/>
          <w:color w:val="auto"/>
        </w:rPr>
      </w:pPr>
      <w:r>
        <w:rPr>
          <w:rFonts w:ascii="宋体" w:cs="宋体" w:eastAsia="宋体" w:hAnsi="宋体"/>
          <w:sz w:val="28"/>
          <w:szCs w:val="28"/>
          <w:b w:val="1"/>
          <w:bCs w:val="1"/>
          <w:color w:val="auto"/>
        </w:rPr>
        <w:t>一周营地安排（参考）具体课程科目根据学校要求可调整</w:t>
      </w:r>
    </w:p>
    <w:p>
      <w:pPr>
        <w:spacing w:after="0" w:line="153" w:lineRule="exact"/>
        <w:rPr>
          <w:sz w:val="20"/>
          <w:szCs w:val="20"/>
          <w:color w:val="auto"/>
        </w:rPr>
      </w:pPr>
    </w:p>
    <w:tbl>
      <w:tblPr>
        <w:tblLayout w:type="fixed"/>
        <w:tblInd w:w="170" w:type="dxa"/>
        <w:tblCellMar>
          <w:top w:w="0" w:type="dxa"/>
          <w:left w:w="0" w:type="dxa"/>
          <w:bottom w:w="0" w:type="dxa"/>
          <w:right w:w="0" w:type="dxa"/>
        </w:tblCellMar>
      </w:tblPr>
      <w:tr>
        <w:trPr>
          <w:trHeight w:val="343"/>
        </w:trPr>
        <w:tc>
          <w:tcPr>
            <w:tcW w:w="820" w:type="dxa"/>
            <w:vAlign w:val="bottom"/>
            <w:tcBorders>
              <w:top w:val="single" w:sz="8" w:color="7BA0CD"/>
              <w:left w:val="single" w:sz="8" w:color="7BA0CD"/>
              <w:right w:val="single" w:sz="8" w:color="7BA0CD"/>
            </w:tcBorders>
            <w:shd w:val="clear" w:color="auto" w:fill="DCE6F2"/>
          </w:tcPr>
          <w:p>
            <w:pPr>
              <w:spacing w:after="0"/>
              <w:rPr>
                <w:sz w:val="24"/>
                <w:szCs w:val="24"/>
                <w:color w:val="auto"/>
              </w:rPr>
            </w:pPr>
          </w:p>
        </w:tc>
        <w:tc>
          <w:tcPr>
            <w:tcW w:w="100" w:type="dxa"/>
            <w:vAlign w:val="bottom"/>
            <w:tcBorders>
              <w:top w:val="single" w:sz="8" w:color="7BA0CD"/>
            </w:tcBorders>
            <w:shd w:val="clear" w:color="auto" w:fill="DCE6F2"/>
          </w:tcPr>
          <w:p>
            <w:pPr>
              <w:spacing w:after="0"/>
              <w:rPr>
                <w:sz w:val="24"/>
                <w:szCs w:val="24"/>
                <w:color w:val="auto"/>
              </w:rPr>
            </w:pPr>
          </w:p>
        </w:tc>
        <w:tc>
          <w:tcPr>
            <w:tcW w:w="1700" w:type="dxa"/>
            <w:vAlign w:val="bottom"/>
            <w:tcBorders>
              <w:top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b w:val="1"/>
                <w:bCs w:val="1"/>
                <w:color w:val="auto"/>
                <w:w w:val="99"/>
              </w:rPr>
              <w:t>Day1</w:t>
            </w:r>
          </w:p>
        </w:tc>
        <w:tc>
          <w:tcPr>
            <w:tcW w:w="120" w:type="dxa"/>
            <w:vAlign w:val="bottom"/>
            <w:tcBorders>
              <w:top w:val="single" w:sz="8" w:color="7BA0CD"/>
              <w:right w:val="single" w:sz="8" w:color="7BA0CD"/>
            </w:tcBorders>
            <w:shd w:val="clear" w:color="auto" w:fill="DCE6F2"/>
          </w:tcPr>
          <w:p>
            <w:pPr>
              <w:spacing w:after="0"/>
              <w:rPr>
                <w:sz w:val="24"/>
                <w:szCs w:val="24"/>
                <w:color w:val="auto"/>
              </w:rPr>
            </w:pPr>
          </w:p>
        </w:tc>
        <w:tc>
          <w:tcPr>
            <w:tcW w:w="1700" w:type="dxa"/>
            <w:vAlign w:val="bottom"/>
            <w:tcBorders>
              <w:top w:val="single" w:sz="8" w:color="7BA0CD"/>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b w:val="1"/>
                <w:bCs w:val="1"/>
                <w:color w:val="auto"/>
                <w:w w:val="99"/>
              </w:rPr>
              <w:t>Day2</w:t>
            </w:r>
          </w:p>
        </w:tc>
        <w:tc>
          <w:tcPr>
            <w:tcW w:w="1320" w:type="dxa"/>
            <w:vAlign w:val="bottom"/>
            <w:tcBorders>
              <w:top w:val="single" w:sz="8" w:color="7BA0CD"/>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b w:val="1"/>
                <w:bCs w:val="1"/>
                <w:color w:val="auto"/>
                <w:w w:val="99"/>
              </w:rPr>
              <w:t>Day3</w:t>
            </w:r>
          </w:p>
        </w:tc>
        <w:tc>
          <w:tcPr>
            <w:tcW w:w="1320" w:type="dxa"/>
            <w:vAlign w:val="bottom"/>
            <w:tcBorders>
              <w:top w:val="single" w:sz="8" w:color="7BA0CD"/>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b w:val="1"/>
                <w:bCs w:val="1"/>
                <w:color w:val="auto"/>
                <w:w w:val="99"/>
              </w:rPr>
              <w:t>Day4</w:t>
            </w:r>
          </w:p>
        </w:tc>
        <w:tc>
          <w:tcPr>
            <w:tcW w:w="1640" w:type="dxa"/>
            <w:vAlign w:val="bottom"/>
            <w:tcBorders>
              <w:top w:val="single" w:sz="8" w:color="7BA0CD"/>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b w:val="1"/>
                <w:bCs w:val="1"/>
                <w:color w:val="auto"/>
                <w:w w:val="99"/>
              </w:rPr>
              <w:t>Day5</w:t>
            </w:r>
          </w:p>
        </w:tc>
        <w:tc>
          <w:tcPr>
            <w:tcW w:w="0" w:type="dxa"/>
            <w:vAlign w:val="bottom"/>
          </w:tcPr>
          <w:p>
            <w:pPr>
              <w:spacing w:after="0"/>
              <w:rPr>
                <w:sz w:val="1"/>
                <w:szCs w:val="1"/>
                <w:color w:val="auto"/>
              </w:rPr>
            </w:pPr>
          </w:p>
        </w:tc>
      </w:tr>
      <w:tr>
        <w:trPr>
          <w:trHeight w:val="146"/>
        </w:trPr>
        <w:tc>
          <w:tcPr>
            <w:tcW w:w="820" w:type="dxa"/>
            <w:vAlign w:val="bottom"/>
            <w:tcBorders>
              <w:left w:val="single" w:sz="8" w:color="7BA0CD"/>
              <w:bottom w:val="single" w:sz="8" w:color="7BA0CD"/>
              <w:right w:val="single" w:sz="8" w:color="7BA0CD"/>
            </w:tcBorders>
            <w:shd w:val="clear" w:color="auto" w:fill="DCE6F2"/>
          </w:tcPr>
          <w:p>
            <w:pPr>
              <w:spacing w:after="0"/>
              <w:rPr>
                <w:sz w:val="12"/>
                <w:szCs w:val="12"/>
                <w:color w:val="auto"/>
              </w:rPr>
            </w:pPr>
          </w:p>
        </w:tc>
        <w:tc>
          <w:tcPr>
            <w:tcW w:w="100" w:type="dxa"/>
            <w:vAlign w:val="bottom"/>
            <w:tcBorders>
              <w:bottom w:val="single" w:sz="8" w:color="7BA0CD"/>
            </w:tcBorders>
            <w:shd w:val="clear" w:color="auto" w:fill="DCE6F2"/>
          </w:tcPr>
          <w:p>
            <w:pPr>
              <w:spacing w:after="0"/>
              <w:rPr>
                <w:sz w:val="12"/>
                <w:szCs w:val="12"/>
                <w:color w:val="auto"/>
              </w:rPr>
            </w:pPr>
          </w:p>
        </w:tc>
        <w:tc>
          <w:tcPr>
            <w:tcW w:w="1700" w:type="dxa"/>
            <w:vAlign w:val="bottom"/>
            <w:tcBorders>
              <w:bottom w:val="single" w:sz="8" w:color="7BA0CD"/>
            </w:tcBorders>
            <w:shd w:val="clear" w:color="auto" w:fill="DCE6F2"/>
          </w:tcPr>
          <w:p>
            <w:pPr>
              <w:spacing w:after="0"/>
              <w:rPr>
                <w:sz w:val="12"/>
                <w:szCs w:val="12"/>
                <w:color w:val="auto"/>
              </w:rPr>
            </w:pPr>
          </w:p>
        </w:tc>
        <w:tc>
          <w:tcPr>
            <w:tcW w:w="120" w:type="dxa"/>
            <w:vAlign w:val="bottom"/>
            <w:tcBorders>
              <w:bottom w:val="single" w:sz="8" w:color="7BA0CD"/>
              <w:right w:val="single" w:sz="8" w:color="7BA0CD"/>
            </w:tcBorders>
            <w:shd w:val="clear" w:color="auto" w:fill="DCE6F2"/>
          </w:tcPr>
          <w:p>
            <w:pPr>
              <w:spacing w:after="0"/>
              <w:rPr>
                <w:sz w:val="12"/>
                <w:szCs w:val="12"/>
                <w:color w:val="auto"/>
              </w:rPr>
            </w:pPr>
          </w:p>
        </w:tc>
        <w:tc>
          <w:tcPr>
            <w:tcW w:w="170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640" w:type="dxa"/>
            <w:vAlign w:val="bottom"/>
            <w:tcBorders>
              <w:bottom w:val="single" w:sz="8" w:color="7BA0CD"/>
              <w:right w:val="single" w:sz="8" w:color="7BA0CD"/>
            </w:tcBorders>
            <w:shd w:val="clear" w:color="auto" w:fill="DCE6F2"/>
          </w:tcPr>
          <w:p>
            <w:pPr>
              <w:spacing w:after="0"/>
              <w:rPr>
                <w:sz w:val="12"/>
                <w:szCs w:val="12"/>
                <w:color w:val="auto"/>
              </w:rPr>
            </w:pPr>
          </w:p>
        </w:tc>
        <w:tc>
          <w:tcPr>
            <w:tcW w:w="0" w:type="dxa"/>
            <w:vAlign w:val="bottom"/>
          </w:tcPr>
          <w:p>
            <w:pPr>
              <w:spacing w:after="0"/>
              <w:rPr>
                <w:sz w:val="1"/>
                <w:szCs w:val="1"/>
                <w:color w:val="auto"/>
              </w:rPr>
            </w:pPr>
          </w:p>
        </w:tc>
      </w:tr>
      <w:tr>
        <w:trPr>
          <w:trHeight w:val="324"/>
        </w:trPr>
        <w:tc>
          <w:tcPr>
            <w:tcW w:w="820" w:type="dxa"/>
            <w:vAlign w:val="bottom"/>
            <w:tcBorders>
              <w:left w:val="single" w:sz="8" w:color="7BA0CD"/>
              <w:right w:val="single" w:sz="8" w:color="7BA0CD"/>
            </w:tcBorders>
            <w:shd w:val="clear" w:color="auto" w:fill="DCE6F2"/>
          </w:tcPr>
          <w:p>
            <w:pPr>
              <w:ind w:left="220"/>
              <w:spacing w:after="0" w:line="206" w:lineRule="exact"/>
              <w:rPr>
                <w:sz w:val="20"/>
                <w:szCs w:val="20"/>
                <w:color w:val="auto"/>
              </w:rPr>
            </w:pPr>
            <w:r>
              <w:rPr>
                <w:rFonts w:ascii="宋体" w:cs="宋体" w:eastAsia="宋体" w:hAnsi="宋体"/>
                <w:sz w:val="18"/>
                <w:szCs w:val="18"/>
                <w:b w:val="1"/>
                <w:bCs w:val="1"/>
                <w:color w:val="auto"/>
              </w:rPr>
              <w:t>上午</w:t>
            </w:r>
          </w:p>
        </w:tc>
        <w:tc>
          <w:tcPr>
            <w:tcW w:w="100" w:type="dxa"/>
            <w:vAlign w:val="bottom"/>
            <w:shd w:val="clear" w:color="auto" w:fill="DCE6F2"/>
          </w:tcPr>
          <w:p>
            <w:pPr>
              <w:spacing w:after="0"/>
              <w:rPr>
                <w:sz w:val="24"/>
                <w:szCs w:val="24"/>
                <w:color w:val="auto"/>
              </w:rPr>
            </w:pPr>
          </w:p>
        </w:tc>
        <w:tc>
          <w:tcPr>
            <w:tcW w:w="1700" w:type="dxa"/>
            <w:vAlign w:val="bottom"/>
            <w:shd w:val="clear" w:color="auto" w:fill="DCE6F2"/>
          </w:tcPr>
          <w:p>
            <w:pPr>
              <w:spacing w:after="0"/>
              <w:rPr>
                <w:sz w:val="24"/>
                <w:szCs w:val="24"/>
                <w:color w:val="auto"/>
              </w:rPr>
            </w:pPr>
          </w:p>
        </w:tc>
        <w:tc>
          <w:tcPr>
            <w:tcW w:w="120" w:type="dxa"/>
            <w:vAlign w:val="bottom"/>
            <w:tcBorders>
              <w:right w:val="single" w:sz="8" w:color="7BA0CD"/>
            </w:tcBorders>
            <w:shd w:val="clear" w:color="auto" w:fill="DCE6F2"/>
          </w:tcPr>
          <w:p>
            <w:pPr>
              <w:spacing w:after="0"/>
              <w:rPr>
                <w:sz w:val="24"/>
                <w:szCs w:val="24"/>
                <w:color w:val="auto"/>
              </w:rPr>
            </w:pPr>
          </w:p>
        </w:tc>
        <w:tc>
          <w:tcPr>
            <w:tcW w:w="170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商务管理</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企业战略</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国际贸易</w:t>
            </w:r>
          </w:p>
        </w:tc>
        <w:tc>
          <w:tcPr>
            <w:tcW w:w="1640" w:type="dxa"/>
            <w:vAlign w:val="bottom"/>
            <w:tcBorders>
              <w:right w:val="single" w:sz="8" w:color="7BA0CD"/>
            </w:tcBorders>
            <w:shd w:val="clear" w:color="auto" w:fill="DCE6F2"/>
          </w:tcPr>
          <w:p>
            <w:pPr>
              <w:spacing w:after="0"/>
              <w:rPr>
                <w:sz w:val="24"/>
                <w:szCs w:val="24"/>
                <w:color w:val="auto"/>
              </w:rPr>
            </w:pPr>
          </w:p>
        </w:tc>
        <w:tc>
          <w:tcPr>
            <w:tcW w:w="0" w:type="dxa"/>
            <w:vAlign w:val="bottom"/>
          </w:tcPr>
          <w:p>
            <w:pPr>
              <w:spacing w:after="0"/>
              <w:rPr>
                <w:sz w:val="1"/>
                <w:szCs w:val="1"/>
                <w:color w:val="auto"/>
              </w:rPr>
            </w:pPr>
          </w:p>
        </w:tc>
      </w:tr>
      <w:tr>
        <w:trPr>
          <w:trHeight w:val="144"/>
        </w:trPr>
        <w:tc>
          <w:tcPr>
            <w:tcW w:w="820" w:type="dxa"/>
            <w:vAlign w:val="bottom"/>
            <w:tcBorders>
              <w:left w:val="single" w:sz="8" w:color="7BA0CD"/>
              <w:bottom w:val="single" w:sz="8" w:color="7BA0CD"/>
              <w:right w:val="single" w:sz="8" w:color="7BA0CD"/>
            </w:tcBorders>
            <w:shd w:val="clear" w:color="auto" w:fill="DCE6F2"/>
          </w:tcPr>
          <w:p>
            <w:pPr>
              <w:spacing w:after="0"/>
              <w:rPr>
                <w:sz w:val="12"/>
                <w:szCs w:val="12"/>
                <w:color w:val="auto"/>
              </w:rPr>
            </w:pPr>
          </w:p>
        </w:tc>
        <w:tc>
          <w:tcPr>
            <w:tcW w:w="100" w:type="dxa"/>
            <w:vAlign w:val="bottom"/>
            <w:tcBorders>
              <w:bottom w:val="single" w:sz="8" w:color="DCE6F2"/>
            </w:tcBorders>
            <w:shd w:val="clear" w:color="auto" w:fill="DCE6F2"/>
          </w:tcPr>
          <w:p>
            <w:pPr>
              <w:spacing w:after="0"/>
              <w:rPr>
                <w:sz w:val="12"/>
                <w:szCs w:val="12"/>
                <w:color w:val="auto"/>
              </w:rPr>
            </w:pPr>
          </w:p>
        </w:tc>
        <w:tc>
          <w:tcPr>
            <w:tcW w:w="1700" w:type="dxa"/>
            <w:vAlign w:val="bottom"/>
            <w:tcBorders>
              <w:bottom w:val="single" w:sz="8" w:color="DCE6F2"/>
            </w:tcBorders>
            <w:vMerge w:val="restart"/>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抵达剑桥，</w:t>
            </w:r>
          </w:p>
        </w:tc>
        <w:tc>
          <w:tcPr>
            <w:tcW w:w="120" w:type="dxa"/>
            <w:vAlign w:val="bottom"/>
            <w:tcBorders>
              <w:bottom w:val="single" w:sz="8" w:color="DCE6F2"/>
              <w:right w:val="single" w:sz="8" w:color="7BA0CD"/>
            </w:tcBorders>
            <w:shd w:val="clear" w:color="auto" w:fill="DCE6F2"/>
          </w:tcPr>
          <w:p>
            <w:pPr>
              <w:spacing w:after="0"/>
              <w:rPr>
                <w:sz w:val="12"/>
                <w:szCs w:val="12"/>
                <w:color w:val="auto"/>
              </w:rPr>
            </w:pPr>
          </w:p>
        </w:tc>
        <w:tc>
          <w:tcPr>
            <w:tcW w:w="170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640" w:type="dxa"/>
            <w:vAlign w:val="bottom"/>
            <w:tcBorders>
              <w:bottom w:val="single" w:sz="8" w:color="DCE6F2"/>
              <w:right w:val="single" w:sz="8" w:color="7BA0CD"/>
            </w:tcBorders>
            <w:shd w:val="clear" w:color="auto" w:fill="DCE6F2"/>
          </w:tcPr>
          <w:p>
            <w:pPr>
              <w:spacing w:after="0"/>
              <w:rPr>
                <w:sz w:val="12"/>
                <w:szCs w:val="12"/>
                <w:color w:val="auto"/>
              </w:rPr>
            </w:pPr>
          </w:p>
        </w:tc>
        <w:tc>
          <w:tcPr>
            <w:tcW w:w="0" w:type="dxa"/>
            <w:vAlign w:val="bottom"/>
          </w:tcPr>
          <w:p>
            <w:pPr>
              <w:spacing w:after="0"/>
              <w:rPr>
                <w:sz w:val="1"/>
                <w:szCs w:val="1"/>
                <w:color w:val="auto"/>
              </w:rPr>
            </w:pPr>
          </w:p>
        </w:tc>
      </w:tr>
      <w:tr>
        <w:trPr>
          <w:trHeight w:val="323"/>
        </w:trPr>
        <w:tc>
          <w:tcPr>
            <w:tcW w:w="820" w:type="dxa"/>
            <w:vAlign w:val="bottom"/>
            <w:tcBorders>
              <w:left w:val="single" w:sz="8" w:color="7BA0CD"/>
              <w:right w:val="single" w:sz="8" w:color="7BA0CD"/>
            </w:tcBorders>
            <w:shd w:val="clear" w:color="auto" w:fill="DCE6F2"/>
          </w:tcPr>
          <w:p>
            <w:pPr>
              <w:ind w:left="220"/>
              <w:spacing w:after="0" w:line="206" w:lineRule="exact"/>
              <w:rPr>
                <w:sz w:val="20"/>
                <w:szCs w:val="20"/>
                <w:color w:val="auto"/>
              </w:rPr>
            </w:pPr>
            <w:r>
              <w:rPr>
                <w:rFonts w:ascii="宋体" w:cs="宋体" w:eastAsia="宋体" w:hAnsi="宋体"/>
                <w:sz w:val="18"/>
                <w:szCs w:val="18"/>
                <w:b w:val="1"/>
                <w:bCs w:val="1"/>
                <w:color w:val="auto"/>
              </w:rPr>
              <w:t>下午</w:t>
            </w:r>
          </w:p>
        </w:tc>
        <w:tc>
          <w:tcPr>
            <w:tcW w:w="100" w:type="dxa"/>
            <w:vAlign w:val="bottom"/>
            <w:shd w:val="clear" w:color="auto" w:fill="DCE6F2"/>
          </w:tcPr>
          <w:p>
            <w:pPr>
              <w:spacing w:after="0"/>
              <w:rPr>
                <w:sz w:val="24"/>
                <w:szCs w:val="24"/>
                <w:color w:val="auto"/>
              </w:rPr>
            </w:pPr>
          </w:p>
        </w:tc>
        <w:tc>
          <w:tcPr>
            <w:tcW w:w="1700" w:type="dxa"/>
            <w:vAlign w:val="bottom"/>
            <w:vMerge w:val="continue"/>
            <w:shd w:val="clear" w:color="auto" w:fill="DCE6F2"/>
          </w:tcPr>
          <w:p>
            <w:pPr>
              <w:spacing w:after="0"/>
              <w:rPr>
                <w:sz w:val="24"/>
                <w:szCs w:val="24"/>
                <w:color w:val="auto"/>
              </w:rPr>
            </w:pPr>
          </w:p>
        </w:tc>
        <w:tc>
          <w:tcPr>
            <w:tcW w:w="120" w:type="dxa"/>
            <w:vAlign w:val="bottom"/>
            <w:tcBorders>
              <w:right w:val="single" w:sz="8" w:color="7BA0CD"/>
            </w:tcBorders>
            <w:shd w:val="clear" w:color="auto" w:fill="DCE6F2"/>
          </w:tcPr>
          <w:p>
            <w:pPr>
              <w:spacing w:after="0"/>
              <w:rPr>
                <w:sz w:val="24"/>
                <w:szCs w:val="24"/>
                <w:color w:val="auto"/>
              </w:rPr>
            </w:pPr>
          </w:p>
        </w:tc>
        <w:tc>
          <w:tcPr>
            <w:tcW w:w="170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市场营销</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管理沟通</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rPr>
              <w:t>政府/社区志</w:t>
            </w:r>
          </w:p>
        </w:tc>
        <w:tc>
          <w:tcPr>
            <w:tcW w:w="1640" w:type="dxa"/>
            <w:vAlign w:val="bottom"/>
            <w:tcBorders>
              <w:right w:val="single" w:sz="8" w:color="7BA0CD"/>
            </w:tcBorders>
            <w:shd w:val="clear" w:color="auto" w:fill="DCE6F2"/>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820" w:type="dxa"/>
            <w:vAlign w:val="bottom"/>
            <w:tcBorders>
              <w:left w:val="single" w:sz="8" w:color="7BA0CD"/>
              <w:right w:val="single" w:sz="8" w:color="7BA0CD"/>
            </w:tcBorders>
            <w:shd w:val="clear" w:color="auto" w:fill="DCE6F2"/>
          </w:tcPr>
          <w:p>
            <w:pPr>
              <w:spacing w:after="0"/>
              <w:rPr>
                <w:sz w:val="24"/>
                <w:szCs w:val="24"/>
                <w:color w:val="auto"/>
              </w:rPr>
            </w:pPr>
          </w:p>
        </w:tc>
        <w:tc>
          <w:tcPr>
            <w:tcW w:w="100" w:type="dxa"/>
            <w:vAlign w:val="bottom"/>
            <w:shd w:val="clear" w:color="auto" w:fill="DCE6F2"/>
          </w:tcPr>
          <w:p>
            <w:pPr>
              <w:spacing w:after="0"/>
              <w:rPr>
                <w:sz w:val="24"/>
                <w:szCs w:val="24"/>
                <w:color w:val="auto"/>
              </w:rPr>
            </w:pPr>
          </w:p>
        </w:tc>
        <w:tc>
          <w:tcPr>
            <w:tcW w:w="1700" w:type="dxa"/>
            <w:vAlign w:val="bottom"/>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入住国际学生公寓或</w:t>
            </w:r>
          </w:p>
        </w:tc>
        <w:tc>
          <w:tcPr>
            <w:tcW w:w="120" w:type="dxa"/>
            <w:vAlign w:val="bottom"/>
            <w:tcBorders>
              <w:right w:val="single" w:sz="8" w:color="7BA0CD"/>
            </w:tcBorders>
            <w:shd w:val="clear" w:color="auto" w:fill="DCE6F2"/>
          </w:tcPr>
          <w:p>
            <w:pPr>
              <w:spacing w:after="0"/>
              <w:rPr>
                <w:sz w:val="24"/>
                <w:szCs w:val="24"/>
                <w:color w:val="auto"/>
              </w:rPr>
            </w:pPr>
          </w:p>
        </w:tc>
        <w:tc>
          <w:tcPr>
            <w:tcW w:w="170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走进国王学院</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剑桥市长办公</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愿服务</w:t>
            </w:r>
          </w:p>
        </w:tc>
        <w:tc>
          <w:tcPr>
            <w:tcW w:w="1640" w:type="dxa"/>
            <w:vAlign w:val="bottom"/>
            <w:tcBorders>
              <w:right w:val="single" w:sz="8" w:color="7BA0CD"/>
            </w:tcBorders>
            <w:shd w:val="clear" w:color="auto" w:fill="DCE6F2"/>
          </w:tcPr>
          <w:p>
            <w:pPr>
              <w:spacing w:after="0"/>
              <w:rPr>
                <w:sz w:val="24"/>
                <w:szCs w:val="24"/>
                <w:color w:val="auto"/>
              </w:rPr>
            </w:pPr>
          </w:p>
        </w:tc>
        <w:tc>
          <w:tcPr>
            <w:tcW w:w="0" w:type="dxa"/>
            <w:vAlign w:val="bottom"/>
          </w:tcPr>
          <w:p>
            <w:pPr>
              <w:spacing w:after="0"/>
              <w:rPr>
                <w:sz w:val="1"/>
                <w:szCs w:val="1"/>
                <w:color w:val="auto"/>
              </w:rPr>
            </w:pPr>
          </w:p>
        </w:tc>
      </w:tr>
      <w:tr>
        <w:trPr>
          <w:trHeight w:val="468"/>
        </w:trPr>
        <w:tc>
          <w:tcPr>
            <w:tcW w:w="820" w:type="dxa"/>
            <w:vAlign w:val="bottom"/>
            <w:tcBorders>
              <w:left w:val="single" w:sz="8" w:color="7BA0CD"/>
              <w:right w:val="single" w:sz="8" w:color="7BA0CD"/>
            </w:tcBorders>
            <w:shd w:val="clear" w:color="auto" w:fill="DCE6F2"/>
          </w:tcPr>
          <w:p>
            <w:pPr>
              <w:spacing w:after="0"/>
              <w:rPr>
                <w:sz w:val="24"/>
                <w:szCs w:val="24"/>
                <w:color w:val="auto"/>
              </w:rPr>
            </w:pPr>
          </w:p>
        </w:tc>
        <w:tc>
          <w:tcPr>
            <w:tcW w:w="100" w:type="dxa"/>
            <w:vAlign w:val="bottom"/>
            <w:shd w:val="clear" w:color="auto" w:fill="DCE6F2"/>
          </w:tcPr>
          <w:p>
            <w:pPr>
              <w:spacing w:after="0"/>
              <w:rPr>
                <w:sz w:val="24"/>
                <w:szCs w:val="24"/>
                <w:color w:val="auto"/>
              </w:rPr>
            </w:pPr>
          </w:p>
        </w:tc>
        <w:tc>
          <w:tcPr>
            <w:tcW w:w="1700" w:type="dxa"/>
            <w:vAlign w:val="bottom"/>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寄宿家庭</w:t>
            </w:r>
          </w:p>
        </w:tc>
        <w:tc>
          <w:tcPr>
            <w:tcW w:w="120" w:type="dxa"/>
            <w:vAlign w:val="bottom"/>
            <w:tcBorders>
              <w:right w:val="single" w:sz="8" w:color="7BA0CD"/>
            </w:tcBorders>
            <w:shd w:val="clear" w:color="auto" w:fill="DCE6F2"/>
          </w:tcPr>
          <w:p>
            <w:pPr>
              <w:spacing w:after="0"/>
              <w:rPr>
                <w:sz w:val="24"/>
                <w:szCs w:val="24"/>
                <w:color w:val="auto"/>
              </w:rPr>
            </w:pPr>
          </w:p>
        </w:tc>
        <w:tc>
          <w:tcPr>
            <w:tcW w:w="1700" w:type="dxa"/>
            <w:vAlign w:val="bottom"/>
            <w:tcBorders>
              <w:right w:val="single" w:sz="8" w:color="7BA0CD"/>
            </w:tcBorders>
            <w:shd w:val="clear" w:color="auto" w:fill="DCE6F2"/>
          </w:tcPr>
          <w:p>
            <w:pPr>
              <w:spacing w:after="0"/>
              <w:rPr>
                <w:sz w:val="24"/>
                <w:szCs w:val="24"/>
                <w:color w:val="auto"/>
              </w:rPr>
            </w:pP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室参访</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结业典礼</w:t>
            </w:r>
          </w:p>
        </w:tc>
        <w:tc>
          <w:tcPr>
            <w:tcW w:w="164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离开剑桥</w:t>
            </w:r>
          </w:p>
        </w:tc>
        <w:tc>
          <w:tcPr>
            <w:tcW w:w="0" w:type="dxa"/>
            <w:vAlign w:val="bottom"/>
          </w:tcPr>
          <w:p>
            <w:pPr>
              <w:spacing w:after="0"/>
              <w:rPr>
                <w:sz w:val="1"/>
                <w:szCs w:val="1"/>
                <w:color w:val="auto"/>
              </w:rPr>
            </w:pPr>
          </w:p>
        </w:tc>
      </w:tr>
      <w:tr>
        <w:trPr>
          <w:trHeight w:val="144"/>
        </w:trPr>
        <w:tc>
          <w:tcPr>
            <w:tcW w:w="820" w:type="dxa"/>
            <w:vAlign w:val="bottom"/>
            <w:tcBorders>
              <w:left w:val="single" w:sz="8" w:color="7BA0CD"/>
              <w:bottom w:val="single" w:sz="8" w:color="7BA0CD"/>
              <w:right w:val="single" w:sz="8" w:color="7BA0CD"/>
            </w:tcBorders>
            <w:shd w:val="clear" w:color="auto" w:fill="DCE6F2"/>
          </w:tcPr>
          <w:p>
            <w:pPr>
              <w:spacing w:after="0"/>
              <w:rPr>
                <w:sz w:val="12"/>
                <w:szCs w:val="12"/>
                <w:color w:val="auto"/>
              </w:rPr>
            </w:pPr>
          </w:p>
        </w:tc>
        <w:tc>
          <w:tcPr>
            <w:tcW w:w="100" w:type="dxa"/>
            <w:vAlign w:val="bottom"/>
            <w:tcBorders>
              <w:bottom w:val="single" w:sz="8" w:color="DCE6F2"/>
            </w:tcBorders>
            <w:shd w:val="clear" w:color="auto" w:fill="DCE6F2"/>
          </w:tcPr>
          <w:p>
            <w:pPr>
              <w:spacing w:after="0"/>
              <w:rPr>
                <w:sz w:val="12"/>
                <w:szCs w:val="12"/>
                <w:color w:val="auto"/>
              </w:rPr>
            </w:pPr>
          </w:p>
        </w:tc>
        <w:tc>
          <w:tcPr>
            <w:tcW w:w="1700" w:type="dxa"/>
            <w:vAlign w:val="bottom"/>
            <w:tcBorders>
              <w:bottom w:val="single" w:sz="8" w:color="DCE6F2"/>
            </w:tcBorders>
            <w:shd w:val="clear" w:color="auto" w:fill="DCE6F2"/>
          </w:tcPr>
          <w:p>
            <w:pPr>
              <w:spacing w:after="0"/>
              <w:rPr>
                <w:sz w:val="12"/>
                <w:szCs w:val="12"/>
                <w:color w:val="auto"/>
              </w:rPr>
            </w:pPr>
          </w:p>
        </w:tc>
        <w:tc>
          <w:tcPr>
            <w:tcW w:w="120" w:type="dxa"/>
            <w:vAlign w:val="bottom"/>
            <w:tcBorders>
              <w:bottom w:val="single" w:sz="8" w:color="DCE6F2"/>
              <w:right w:val="single" w:sz="8" w:color="7BA0CD"/>
            </w:tcBorders>
            <w:shd w:val="clear" w:color="auto" w:fill="DCE6F2"/>
          </w:tcPr>
          <w:p>
            <w:pPr>
              <w:spacing w:after="0"/>
              <w:rPr>
                <w:sz w:val="12"/>
                <w:szCs w:val="12"/>
                <w:color w:val="auto"/>
              </w:rPr>
            </w:pPr>
          </w:p>
        </w:tc>
        <w:tc>
          <w:tcPr>
            <w:tcW w:w="170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640" w:type="dxa"/>
            <w:vAlign w:val="bottom"/>
            <w:tcBorders>
              <w:bottom w:val="single" w:sz="8" w:color="DCE6F2"/>
              <w:right w:val="single" w:sz="8" w:color="7BA0CD"/>
            </w:tcBorders>
            <w:shd w:val="clear" w:color="auto" w:fill="DCE6F2"/>
          </w:tcPr>
          <w:p>
            <w:pPr>
              <w:spacing w:after="0"/>
              <w:rPr>
                <w:sz w:val="12"/>
                <w:szCs w:val="12"/>
                <w:color w:val="auto"/>
              </w:rPr>
            </w:pPr>
          </w:p>
        </w:tc>
        <w:tc>
          <w:tcPr>
            <w:tcW w:w="0" w:type="dxa"/>
            <w:vAlign w:val="bottom"/>
          </w:tcPr>
          <w:p>
            <w:pPr>
              <w:spacing w:after="0"/>
              <w:rPr>
                <w:sz w:val="1"/>
                <w:szCs w:val="1"/>
                <w:color w:val="auto"/>
              </w:rPr>
            </w:pPr>
          </w:p>
        </w:tc>
      </w:tr>
      <w:tr>
        <w:trPr>
          <w:trHeight w:val="323"/>
        </w:trPr>
        <w:tc>
          <w:tcPr>
            <w:tcW w:w="820" w:type="dxa"/>
            <w:vAlign w:val="bottom"/>
            <w:tcBorders>
              <w:left w:val="single" w:sz="8" w:color="7BA0CD"/>
              <w:right w:val="single" w:sz="8" w:color="7BA0CD"/>
            </w:tcBorders>
            <w:shd w:val="clear" w:color="auto" w:fill="DCE6F2"/>
          </w:tcPr>
          <w:p>
            <w:pPr>
              <w:ind w:left="220"/>
              <w:spacing w:after="0" w:line="206" w:lineRule="exact"/>
              <w:rPr>
                <w:sz w:val="20"/>
                <w:szCs w:val="20"/>
                <w:color w:val="auto"/>
              </w:rPr>
            </w:pPr>
            <w:r>
              <w:rPr>
                <w:rFonts w:ascii="宋体" w:cs="宋体" w:eastAsia="宋体" w:hAnsi="宋体"/>
                <w:sz w:val="18"/>
                <w:szCs w:val="18"/>
                <w:color w:val="auto"/>
              </w:rPr>
              <w:t>晚上</w:t>
            </w:r>
          </w:p>
        </w:tc>
        <w:tc>
          <w:tcPr>
            <w:tcW w:w="100" w:type="dxa"/>
            <w:vAlign w:val="bottom"/>
            <w:shd w:val="clear" w:color="auto" w:fill="DCE6F2"/>
          </w:tcPr>
          <w:p>
            <w:pPr>
              <w:spacing w:after="0"/>
              <w:rPr>
                <w:sz w:val="24"/>
                <w:szCs w:val="24"/>
                <w:color w:val="auto"/>
              </w:rPr>
            </w:pPr>
          </w:p>
        </w:tc>
        <w:tc>
          <w:tcPr>
            <w:tcW w:w="1700" w:type="dxa"/>
            <w:vAlign w:val="bottom"/>
            <w:shd w:val="clear" w:color="auto" w:fill="DCE6F2"/>
          </w:tcPr>
          <w:p>
            <w:pPr>
              <w:spacing w:after="0"/>
              <w:rPr>
                <w:sz w:val="24"/>
                <w:szCs w:val="24"/>
                <w:color w:val="auto"/>
              </w:rPr>
            </w:pPr>
          </w:p>
        </w:tc>
        <w:tc>
          <w:tcPr>
            <w:tcW w:w="120" w:type="dxa"/>
            <w:vAlign w:val="bottom"/>
            <w:tcBorders>
              <w:right w:val="single" w:sz="8" w:color="7BA0CD"/>
            </w:tcBorders>
            <w:shd w:val="clear" w:color="auto" w:fill="DCE6F2"/>
          </w:tcPr>
          <w:p>
            <w:pPr>
              <w:spacing w:after="0"/>
              <w:rPr>
                <w:sz w:val="24"/>
                <w:szCs w:val="24"/>
                <w:color w:val="auto"/>
              </w:rPr>
            </w:pPr>
          </w:p>
        </w:tc>
        <w:tc>
          <w:tcPr>
            <w:tcW w:w="170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国际学生公寓</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晚宴</w:t>
            </w:r>
          </w:p>
        </w:tc>
        <w:tc>
          <w:tcPr>
            <w:tcW w:w="1320" w:type="dxa"/>
            <w:vAlign w:val="bottom"/>
            <w:tcBorders>
              <w:right w:val="single" w:sz="8" w:color="7BA0CD"/>
            </w:tcBorders>
            <w:shd w:val="clear" w:color="auto" w:fill="DCE6F2"/>
          </w:tcPr>
          <w:p>
            <w:pPr>
              <w:jc w:val="center"/>
              <w:spacing w:after="0" w:line="206" w:lineRule="exact"/>
              <w:rPr>
                <w:sz w:val="20"/>
                <w:szCs w:val="20"/>
                <w:color w:val="auto"/>
              </w:rPr>
            </w:pPr>
            <w:r>
              <w:rPr>
                <w:rFonts w:ascii="宋体" w:cs="宋体" w:eastAsia="宋体" w:hAnsi="宋体"/>
                <w:sz w:val="18"/>
                <w:szCs w:val="18"/>
                <w:color w:val="auto"/>
                <w:w w:val="99"/>
              </w:rPr>
              <w:t>国际学生公寓</w:t>
            </w:r>
          </w:p>
        </w:tc>
        <w:tc>
          <w:tcPr>
            <w:tcW w:w="1640" w:type="dxa"/>
            <w:vAlign w:val="bottom"/>
            <w:tcBorders>
              <w:right w:val="single" w:sz="8" w:color="7BA0CD"/>
            </w:tcBorders>
            <w:shd w:val="clear" w:color="auto" w:fill="DCE6F2"/>
          </w:tcPr>
          <w:p>
            <w:pPr>
              <w:spacing w:after="0"/>
              <w:rPr>
                <w:sz w:val="24"/>
                <w:szCs w:val="24"/>
                <w:color w:val="auto"/>
              </w:rPr>
            </w:pPr>
          </w:p>
        </w:tc>
        <w:tc>
          <w:tcPr>
            <w:tcW w:w="0" w:type="dxa"/>
            <w:vAlign w:val="bottom"/>
          </w:tcPr>
          <w:p>
            <w:pPr>
              <w:spacing w:after="0"/>
              <w:rPr>
                <w:sz w:val="1"/>
                <w:szCs w:val="1"/>
                <w:color w:val="auto"/>
              </w:rPr>
            </w:pPr>
          </w:p>
        </w:tc>
      </w:tr>
      <w:tr>
        <w:trPr>
          <w:trHeight w:val="146"/>
        </w:trPr>
        <w:tc>
          <w:tcPr>
            <w:tcW w:w="820" w:type="dxa"/>
            <w:vAlign w:val="bottom"/>
            <w:tcBorders>
              <w:left w:val="single" w:sz="8" w:color="7BA0CD"/>
              <w:bottom w:val="single" w:sz="8" w:color="7BA0CD"/>
              <w:right w:val="single" w:sz="8" w:color="7BA0CD"/>
            </w:tcBorders>
            <w:shd w:val="clear" w:color="auto" w:fill="DCE6F2"/>
          </w:tcPr>
          <w:p>
            <w:pPr>
              <w:spacing w:after="0"/>
              <w:rPr>
                <w:sz w:val="12"/>
                <w:szCs w:val="12"/>
                <w:color w:val="auto"/>
              </w:rPr>
            </w:pPr>
          </w:p>
        </w:tc>
        <w:tc>
          <w:tcPr>
            <w:tcW w:w="100" w:type="dxa"/>
            <w:vAlign w:val="bottom"/>
            <w:tcBorders>
              <w:bottom w:val="single" w:sz="8" w:color="7BA0CD"/>
            </w:tcBorders>
            <w:shd w:val="clear" w:color="auto" w:fill="DCE6F2"/>
          </w:tcPr>
          <w:p>
            <w:pPr>
              <w:spacing w:after="0"/>
              <w:rPr>
                <w:sz w:val="12"/>
                <w:szCs w:val="12"/>
                <w:color w:val="auto"/>
              </w:rPr>
            </w:pPr>
          </w:p>
        </w:tc>
        <w:tc>
          <w:tcPr>
            <w:tcW w:w="1700" w:type="dxa"/>
            <w:vAlign w:val="bottom"/>
            <w:tcBorders>
              <w:bottom w:val="single" w:sz="8" w:color="7BA0CD"/>
            </w:tcBorders>
            <w:shd w:val="clear" w:color="auto" w:fill="DCE6F2"/>
          </w:tcPr>
          <w:p>
            <w:pPr>
              <w:spacing w:after="0"/>
              <w:rPr>
                <w:sz w:val="12"/>
                <w:szCs w:val="12"/>
                <w:color w:val="auto"/>
              </w:rPr>
            </w:pPr>
          </w:p>
        </w:tc>
        <w:tc>
          <w:tcPr>
            <w:tcW w:w="120" w:type="dxa"/>
            <w:vAlign w:val="bottom"/>
            <w:tcBorders>
              <w:bottom w:val="single" w:sz="8" w:color="7BA0CD"/>
              <w:right w:val="single" w:sz="8" w:color="7BA0CD"/>
            </w:tcBorders>
            <w:shd w:val="clear" w:color="auto" w:fill="DCE6F2"/>
          </w:tcPr>
          <w:p>
            <w:pPr>
              <w:spacing w:after="0"/>
              <w:rPr>
                <w:sz w:val="12"/>
                <w:szCs w:val="12"/>
                <w:color w:val="auto"/>
              </w:rPr>
            </w:pPr>
          </w:p>
        </w:tc>
        <w:tc>
          <w:tcPr>
            <w:tcW w:w="170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320" w:type="dxa"/>
            <w:vAlign w:val="bottom"/>
            <w:tcBorders>
              <w:bottom w:val="single" w:sz="8" w:color="7BA0CD"/>
              <w:right w:val="single" w:sz="8" w:color="7BA0CD"/>
            </w:tcBorders>
            <w:shd w:val="clear" w:color="auto" w:fill="DCE6F2"/>
          </w:tcPr>
          <w:p>
            <w:pPr>
              <w:spacing w:after="0"/>
              <w:rPr>
                <w:sz w:val="12"/>
                <w:szCs w:val="12"/>
                <w:color w:val="auto"/>
              </w:rPr>
            </w:pPr>
          </w:p>
        </w:tc>
        <w:tc>
          <w:tcPr>
            <w:tcW w:w="1640" w:type="dxa"/>
            <w:vAlign w:val="bottom"/>
            <w:tcBorders>
              <w:bottom w:val="single" w:sz="8" w:color="7BA0CD"/>
              <w:right w:val="single" w:sz="8" w:color="7BA0CD"/>
            </w:tcBorders>
            <w:shd w:val="clear" w:color="auto" w:fill="DCE6F2"/>
          </w:tcPr>
          <w:p>
            <w:pPr>
              <w:spacing w:after="0"/>
              <w:rPr>
                <w:sz w:val="12"/>
                <w:szCs w:val="12"/>
                <w:color w:val="auto"/>
              </w:rPr>
            </w:pPr>
          </w:p>
        </w:tc>
        <w:tc>
          <w:tcPr>
            <w:tcW w:w="0" w:type="dxa"/>
            <w:vAlign w:val="bottom"/>
          </w:tcPr>
          <w:p>
            <w:pPr>
              <w:spacing w:after="0"/>
              <w:rPr>
                <w:sz w:val="1"/>
                <w:szCs w:val="1"/>
                <w:color w:val="auto"/>
              </w:rPr>
            </w:pPr>
          </w:p>
        </w:tc>
      </w:tr>
    </w:tbl>
    <w:p>
      <w:pPr>
        <w:sectPr>
          <w:pgSz w:w="11900" w:h="16838" w:orient="portrait"/>
          <w:cols w:equalWidth="0" w:num="1">
            <w:col w:w="9026"/>
          </w:cols>
          <w:pgMar w:left="1440" w:top="1440" w:right="1440" w:bottom="1159" w:gutter="0" w:footer="0" w:header="0"/>
        </w:sectPr>
      </w:pPr>
    </w:p>
    <w:bookmarkStart w:id="4" w:name="page5"/>
    <w:bookmarkEnd w:id="4"/>
    <w:p>
      <w:pPr>
        <w:spacing w:after="0" w:line="15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1013460</wp:posOffset>
            </wp:positionH>
            <wp:positionV relativeFrom="page">
              <wp:posOffset>914400</wp:posOffset>
            </wp:positionV>
            <wp:extent cx="5533390" cy="3232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5533390" cy="323215"/>
                    </a:xfrm>
                    <a:prstGeom prst="rect">
                      <a:avLst/>
                    </a:prstGeom>
                    <a:noFill/>
                  </pic:spPr>
                </pic:pic>
              </a:graphicData>
            </a:graphic>
          </wp:anchor>
        </w:drawing>
      </w:r>
    </w:p>
    <w:p>
      <w:pPr>
        <w:ind w:left="4720"/>
        <w:spacing w:after="0" w:line="194" w:lineRule="exact"/>
        <w:rPr>
          <w:sz w:val="20"/>
          <w:szCs w:val="20"/>
          <w:color w:val="auto"/>
        </w:rPr>
      </w:pPr>
      <w:r>
        <w:rPr>
          <w:rFonts w:ascii="宋体" w:cs="宋体" w:eastAsia="宋体" w:hAnsi="宋体"/>
          <w:sz w:val="17"/>
          <w:szCs w:val="17"/>
          <w:color w:val="auto"/>
        </w:rPr>
        <w:t>国际学生公寓</w:t>
      </w: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ind w:left="360"/>
        <w:spacing w:after="0" w:line="274" w:lineRule="exact"/>
        <w:tabs>
          <w:tab w:leader="none" w:pos="1060" w:val="left"/>
          <w:tab w:leader="none" w:pos="2320" w:val="left"/>
        </w:tabs>
        <w:rPr>
          <w:sz w:val="20"/>
          <w:szCs w:val="20"/>
          <w:color w:val="auto"/>
        </w:rPr>
      </w:pPr>
      <w:r>
        <w:rPr>
          <w:rFonts w:ascii="宋体" w:cs="宋体" w:eastAsia="宋体" w:hAnsi="宋体"/>
          <w:sz w:val="24"/>
          <w:szCs w:val="24"/>
          <w:color w:val="auto"/>
        </w:rPr>
        <w:t>Day1</w:t>
        <w:tab/>
        <w:t>8 月 18 日</w:t>
      </w:r>
      <w:r>
        <w:rPr>
          <w:sz w:val="20"/>
          <w:szCs w:val="20"/>
          <w:color w:val="auto"/>
        </w:rPr>
        <w:tab/>
      </w:r>
      <w:r>
        <w:rPr>
          <w:rFonts w:ascii="宋体" w:cs="宋体" w:eastAsia="宋体" w:hAnsi="宋体"/>
          <w:sz w:val="21"/>
          <w:szCs w:val="21"/>
          <w:b w:val="1"/>
          <w:bCs w:val="1"/>
          <w:color w:val="C00000"/>
        </w:rPr>
        <w:t>南京-转机城市-伦敦</w:t>
      </w:r>
    </w:p>
    <w:p>
      <w:pPr>
        <w:spacing w:after="0" w:line="233"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前往南京机场集合，飞往英国首都</w:t>
      </w:r>
      <w:r>
        <w:rPr>
          <w:rFonts w:ascii="宋体" w:cs="宋体" w:eastAsia="宋体" w:hAnsi="宋体"/>
          <w:sz w:val="19"/>
          <w:szCs w:val="19"/>
          <w:b w:val="1"/>
          <w:bCs w:val="1"/>
          <w:color w:val="auto"/>
        </w:rPr>
        <w:t>伦敦</w:t>
      </w:r>
      <w:r>
        <w:rPr>
          <w:rFonts w:ascii="宋体" w:cs="宋体" w:eastAsia="宋体" w:hAnsi="宋体"/>
          <w:sz w:val="19"/>
          <w:szCs w:val="19"/>
          <w:color w:val="auto"/>
        </w:rPr>
        <w:t>，抵达伦敦后，驱车前往</w:t>
      </w:r>
      <w:r>
        <w:rPr>
          <w:rFonts w:ascii="宋体" w:cs="宋体" w:eastAsia="宋体" w:hAnsi="宋体"/>
          <w:sz w:val="19"/>
          <w:szCs w:val="19"/>
          <w:b w:val="1"/>
          <w:bCs w:val="1"/>
          <w:color w:val="auto"/>
        </w:rPr>
        <w:t>剑桥大学</w:t>
      </w:r>
      <w:r>
        <w:rPr>
          <w:rFonts w:ascii="宋体" w:cs="宋体" w:eastAsia="宋体" w:hAnsi="宋体"/>
          <w:sz w:val="19"/>
          <w:szCs w:val="19"/>
          <w:color w:val="auto"/>
        </w:rPr>
        <w:t>，晚上入住剑桥大学国</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际学生公寓。</w:t>
      </w:r>
    </w:p>
    <w:p>
      <w:pPr>
        <w:spacing w:after="0" w:line="226" w:lineRule="exact"/>
        <w:rPr>
          <w:sz w:val="20"/>
          <w:szCs w:val="20"/>
          <w:color w:val="auto"/>
        </w:rPr>
      </w:pPr>
    </w:p>
    <w:p>
      <w:pPr>
        <w:ind w:left="360"/>
        <w:spacing w:after="0" w:line="251" w:lineRule="exact"/>
        <w:tabs>
          <w:tab w:leader="none" w:pos="1000" w:val="left"/>
        </w:tabs>
        <w:rPr>
          <w:sz w:val="20"/>
          <w:szCs w:val="20"/>
          <w:color w:val="auto"/>
        </w:rPr>
      </w:pPr>
      <w:r>
        <w:rPr>
          <w:rFonts w:ascii="宋体" w:cs="宋体" w:eastAsia="宋体" w:hAnsi="宋体"/>
          <w:sz w:val="22"/>
          <w:szCs w:val="22"/>
          <w:b w:val="1"/>
          <w:bCs w:val="1"/>
          <w:color w:val="auto"/>
        </w:rPr>
        <w:t>餐：</w:t>
        <w:tab/>
        <w:t>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140970</wp:posOffset>
            </wp:positionV>
            <wp:extent cx="6180455" cy="383095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extLst>
                    </a:blip>
                    <a:srcRect/>
                    <a:stretch>
                      <a:fillRect/>
                    </a:stretch>
                  </pic:blipFill>
                  <pic:spPr bwMode="auto">
                    <a:xfrm>
                      <a:off x="0" y="0"/>
                      <a:ext cx="6180455" cy="38309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2" w:lineRule="exact"/>
        <w:rPr>
          <w:sz w:val="20"/>
          <w:szCs w:val="20"/>
          <w:color w:val="auto"/>
        </w:rPr>
      </w:pPr>
    </w:p>
    <w:p>
      <w:pPr>
        <w:ind w:left="360"/>
        <w:spacing w:after="0" w:line="274" w:lineRule="exact"/>
        <w:tabs>
          <w:tab w:leader="none" w:pos="1060" w:val="left"/>
          <w:tab w:leader="none" w:pos="2320" w:val="left"/>
        </w:tabs>
        <w:rPr>
          <w:sz w:val="20"/>
          <w:szCs w:val="20"/>
          <w:color w:val="auto"/>
        </w:rPr>
      </w:pPr>
      <w:r>
        <w:rPr>
          <w:rFonts w:ascii="宋体" w:cs="宋体" w:eastAsia="宋体" w:hAnsi="宋体"/>
          <w:sz w:val="24"/>
          <w:szCs w:val="24"/>
          <w:color w:val="auto"/>
        </w:rPr>
        <w:t>Day2</w:t>
        <w:tab/>
        <w:t>8 月 19 日</w:t>
      </w:r>
      <w:r>
        <w:rPr>
          <w:sz w:val="20"/>
          <w:szCs w:val="20"/>
          <w:color w:val="auto"/>
        </w:rPr>
        <w:tab/>
      </w:r>
      <w:r>
        <w:rPr>
          <w:rFonts w:ascii="宋体" w:cs="宋体" w:eastAsia="宋体" w:hAnsi="宋体"/>
          <w:sz w:val="21"/>
          <w:szCs w:val="21"/>
          <w:b w:val="1"/>
          <w:bCs w:val="1"/>
          <w:color w:val="C00000"/>
        </w:rPr>
        <w:t>剑桥大学 剑桥课程</w:t>
      </w:r>
    </w:p>
    <w:p>
      <w:pPr>
        <w:spacing w:after="0" w:line="208"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今日课程——</w:t>
      </w:r>
      <w:r>
        <w:rPr>
          <w:rFonts w:ascii="宋体" w:cs="宋体" w:eastAsia="宋体" w:hAnsi="宋体"/>
          <w:sz w:val="22"/>
          <w:szCs w:val="22"/>
          <w:b w:val="1"/>
          <w:bCs w:val="1"/>
          <w:color w:val="FF0000"/>
        </w:rPr>
        <w:t>商务管理课程</w:t>
      </w:r>
      <w:r>
        <w:rPr>
          <w:rFonts w:ascii="宋体" w:cs="宋体" w:eastAsia="宋体" w:hAnsi="宋体"/>
          <w:sz w:val="22"/>
          <w:szCs w:val="22"/>
          <w:b w:val="1"/>
          <w:bCs w:val="1"/>
          <w:color w:val="auto"/>
        </w:rPr>
        <w:t xml:space="preserve"> 1（4 小时课程）</w:t>
      </w:r>
    </w:p>
    <w:p>
      <w:pPr>
        <w:spacing w:after="0" w:line="243"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提高学生的学术知识和对当前商务发展的分析理解，提高他们在策略层面的管理技能和不同商务</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领域中的概念理解及分析技能，学习作为管理人必需的知识和能力。</w:t>
      </w:r>
    </w:p>
    <w:p>
      <w:pPr>
        <w:spacing w:after="0" w:line="226"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管理沟通&amp;名校申请</w:t>
      </w:r>
    </w:p>
    <w:p>
      <w:pPr>
        <w:spacing w:after="0" w:line="231"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如何申请名校——大学老师演讲，关于如何成功申请名校–剑桥或牛津大学</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课程结束后，</w:t>
      </w:r>
      <w:r>
        <w:rPr>
          <w:rFonts w:ascii="宋体" w:cs="宋体" w:eastAsia="宋体" w:hAnsi="宋体"/>
          <w:sz w:val="20"/>
          <w:szCs w:val="20"/>
          <w:b w:val="1"/>
          <w:bCs w:val="1"/>
          <w:color w:val="auto"/>
        </w:rPr>
        <w:t>国王学院（King's College）</w:t>
      </w:r>
      <w:r>
        <w:rPr>
          <w:rFonts w:ascii="宋体" w:cs="宋体" w:eastAsia="宋体" w:hAnsi="宋体"/>
          <w:sz w:val="20"/>
          <w:szCs w:val="20"/>
          <w:color w:val="auto"/>
        </w:rPr>
        <w:t>是剑桥大学最著名的学院，在亨利六世的鼎力支持</w:t>
      </w:r>
    </w:p>
    <w:p>
      <w:pPr>
        <w:spacing w:after="0" w:line="251"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下于 1441 年成立，学院草地中央即为亨利六世的青铜纪念像，国王学院的主要入口是雄伟的 19</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世纪哥德式门楼。</w:t>
      </w:r>
    </w:p>
    <w:p>
      <w:pPr>
        <w:sectPr>
          <w:pgSz w:w="11900" w:h="16838" w:orient="portrait"/>
          <w:cols w:equalWidth="0" w:num="1">
            <w:col w:w="9026"/>
          </w:cols>
          <w:pgMar w:left="1440" w:top="1440" w:right="1440" w:bottom="1440" w:gutter="0" w:footer="0" w:header="0"/>
        </w:sectPr>
      </w:pPr>
    </w:p>
    <w:bookmarkStart w:id="5" w:name="page6"/>
    <w:bookmarkEnd w:id="5"/>
    <w:p>
      <w:pPr>
        <w:spacing w:after="0" w:line="94"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93345</wp:posOffset>
            </wp:positionV>
            <wp:extent cx="5163820" cy="17475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extLst>
                    </a:blip>
                    <a:srcRect/>
                    <a:stretch>
                      <a:fillRect/>
                    </a:stretch>
                  </pic:blipFill>
                  <pic:spPr bwMode="auto">
                    <a:xfrm>
                      <a:off x="0" y="0"/>
                      <a:ext cx="5163820" cy="17475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ind w:left="360"/>
        <w:spacing w:after="0" w:line="274" w:lineRule="exact"/>
        <w:tabs>
          <w:tab w:leader="none" w:pos="1060" w:val="left"/>
        </w:tabs>
        <w:rPr>
          <w:sz w:val="20"/>
          <w:szCs w:val="20"/>
          <w:color w:val="auto"/>
        </w:rPr>
      </w:pPr>
      <w:r>
        <w:rPr>
          <w:rFonts w:ascii="宋体" w:cs="宋体" w:eastAsia="宋体" w:hAnsi="宋体"/>
          <w:sz w:val="24"/>
          <w:szCs w:val="24"/>
          <w:color w:val="auto"/>
        </w:rPr>
        <w:t>Day3</w:t>
        <w:tab/>
        <w:t xml:space="preserve">8 月 20 日 </w:t>
      </w:r>
      <w:r>
        <w:rPr>
          <w:rFonts w:ascii="宋体" w:cs="宋体" w:eastAsia="宋体" w:hAnsi="宋体"/>
          <w:sz w:val="21"/>
          <w:szCs w:val="21"/>
          <w:b w:val="1"/>
          <w:bCs w:val="1"/>
          <w:color w:val="C00000"/>
        </w:rPr>
        <w:t>剑桥大学 剑桥课程&amp;【参访剑桥市长办公室】</w:t>
      </w:r>
    </w:p>
    <w:p>
      <w:pPr>
        <w:spacing w:after="0" w:line="208"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今日课程——</w:t>
      </w:r>
      <w:r>
        <w:rPr>
          <w:rFonts w:ascii="宋体" w:cs="宋体" w:eastAsia="宋体" w:hAnsi="宋体"/>
          <w:sz w:val="22"/>
          <w:szCs w:val="22"/>
          <w:b w:val="1"/>
          <w:bCs w:val="1"/>
          <w:color w:val="FF0000"/>
        </w:rPr>
        <w:t>企业战略管理课程</w:t>
      </w:r>
      <w:r>
        <w:rPr>
          <w:rFonts w:ascii="宋体" w:cs="宋体" w:eastAsia="宋体" w:hAnsi="宋体"/>
          <w:sz w:val="22"/>
          <w:szCs w:val="22"/>
          <w:b w:val="1"/>
          <w:bCs w:val="1"/>
          <w:color w:val="auto"/>
        </w:rPr>
        <w:t xml:space="preserve"> 2（4 小时课程）</w:t>
      </w:r>
    </w:p>
    <w:p>
      <w:pPr>
        <w:spacing w:after="0" w:line="260" w:lineRule="exact"/>
        <w:rPr>
          <w:sz w:val="20"/>
          <w:szCs w:val="20"/>
          <w:color w:val="auto"/>
        </w:rPr>
      </w:pPr>
    </w:p>
    <w:p>
      <w:pPr>
        <w:ind w:left="360" w:right="366"/>
        <w:spacing w:after="0" w:line="333" w:lineRule="exact"/>
        <w:rPr>
          <w:sz w:val="20"/>
          <w:szCs w:val="20"/>
          <w:color w:val="auto"/>
        </w:rPr>
      </w:pPr>
      <w:r>
        <w:rPr>
          <w:rFonts w:ascii="宋体" w:cs="宋体" w:eastAsia="宋体" w:hAnsi="宋体"/>
          <w:sz w:val="20"/>
          <w:szCs w:val="20"/>
          <w:color w:val="auto"/>
        </w:rPr>
        <w:t>分组讨论、演讲比赛、通过对大量案例的讨论，建立战略思维的基本架构，把握企业战略实践的核心和战略实施的关键点。</w:t>
      </w:r>
    </w:p>
    <w:p>
      <w:pPr>
        <w:spacing w:after="0" w:line="271" w:lineRule="exact"/>
        <w:rPr>
          <w:sz w:val="20"/>
          <w:szCs w:val="20"/>
          <w:color w:val="auto"/>
        </w:rPr>
      </w:pPr>
    </w:p>
    <w:p>
      <w:pPr>
        <w:ind w:left="360" w:right="266"/>
        <w:spacing w:after="0" w:line="334" w:lineRule="exact"/>
        <w:rPr>
          <w:sz w:val="20"/>
          <w:szCs w:val="20"/>
          <w:color w:val="auto"/>
        </w:rPr>
      </w:pPr>
      <w:r>
        <w:rPr>
          <w:rFonts w:ascii="宋体" w:cs="宋体" w:eastAsia="宋体" w:hAnsi="宋体"/>
          <w:sz w:val="19"/>
          <w:szCs w:val="19"/>
          <w:color w:val="auto"/>
        </w:rPr>
        <w:t>课程结束后，前往</w:t>
      </w:r>
      <w:r>
        <w:rPr>
          <w:rFonts w:ascii="宋体" w:cs="宋体" w:eastAsia="宋体" w:hAnsi="宋体"/>
          <w:sz w:val="19"/>
          <w:szCs w:val="19"/>
          <w:b w:val="1"/>
          <w:bCs w:val="1"/>
          <w:color w:val="auto"/>
        </w:rPr>
        <w:t>剑桥市长办公室参观、交流</w:t>
      </w:r>
      <w:r>
        <w:rPr>
          <w:rFonts w:ascii="宋体" w:cs="宋体" w:eastAsia="宋体" w:hAnsi="宋体"/>
          <w:sz w:val="19"/>
          <w:szCs w:val="19"/>
          <w:color w:val="auto"/>
        </w:rPr>
        <w:t>，由市长或市长代表为你演讲关于剑桥文化发展、历史、教育、城市与剑桥大学密切的联系。同学们可以穿上市长特制服装，与市长或代表近距离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247650</wp:posOffset>
            </wp:positionH>
            <wp:positionV relativeFrom="paragraph">
              <wp:posOffset>285750</wp:posOffset>
            </wp:positionV>
            <wp:extent cx="5400675" cy="198501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extLst>
                    </a:blip>
                    <a:srcRect/>
                    <a:stretch>
                      <a:fillRect/>
                    </a:stretch>
                  </pic:blipFill>
                  <pic:spPr bwMode="auto">
                    <a:xfrm>
                      <a:off x="0" y="0"/>
                      <a:ext cx="5400675" cy="1985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的接触，面对面提问，并与市长或市长代表拍照留念。</w:t>
      </w:r>
    </w:p>
    <w:p>
      <w:pPr>
        <w:spacing w:after="0" w:line="227"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360"/>
        <w:spacing w:after="0" w:line="274" w:lineRule="exact"/>
        <w:tabs>
          <w:tab w:leader="none" w:pos="1060" w:val="left"/>
        </w:tabs>
        <w:rPr>
          <w:sz w:val="20"/>
          <w:szCs w:val="20"/>
          <w:color w:val="auto"/>
        </w:rPr>
      </w:pPr>
      <w:r>
        <w:rPr>
          <w:rFonts w:ascii="宋体" w:cs="宋体" w:eastAsia="宋体" w:hAnsi="宋体"/>
          <w:sz w:val="24"/>
          <w:szCs w:val="24"/>
          <w:color w:val="auto"/>
        </w:rPr>
        <w:t>Day4</w:t>
        <w:tab/>
        <w:t xml:space="preserve">8 月 21 日 </w:t>
      </w:r>
      <w:r>
        <w:rPr>
          <w:rFonts w:ascii="宋体" w:cs="宋体" w:eastAsia="宋体" w:hAnsi="宋体"/>
          <w:sz w:val="21"/>
          <w:szCs w:val="21"/>
          <w:b w:val="1"/>
          <w:bCs w:val="1"/>
          <w:color w:val="C00000"/>
        </w:rPr>
        <w:t>剑桥大学 剑桥课程</w:t>
      </w:r>
    </w:p>
    <w:p>
      <w:pPr>
        <w:spacing w:after="0" w:line="208"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今日课程——</w:t>
      </w:r>
      <w:r>
        <w:rPr>
          <w:rFonts w:ascii="宋体" w:cs="宋体" w:eastAsia="宋体" w:hAnsi="宋体"/>
          <w:sz w:val="22"/>
          <w:szCs w:val="22"/>
          <w:b w:val="1"/>
          <w:bCs w:val="1"/>
          <w:color w:val="FF0000"/>
        </w:rPr>
        <w:t>市场营销管理课程</w:t>
      </w:r>
      <w:r>
        <w:rPr>
          <w:rFonts w:ascii="宋体" w:cs="宋体" w:eastAsia="宋体" w:hAnsi="宋体"/>
          <w:sz w:val="22"/>
          <w:szCs w:val="22"/>
          <w:b w:val="1"/>
          <w:bCs w:val="1"/>
          <w:color w:val="auto"/>
        </w:rPr>
        <w:t xml:space="preserve"> 3（4 小时课程）</w:t>
      </w:r>
    </w:p>
    <w:p>
      <w:pPr>
        <w:spacing w:after="0" w:line="242"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通过精选案例的分析与讨论，把握营销的理论框架，深入认识国内外的营销实践，形成正确的市</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场营销观念，提高营销管理技能。</w:t>
      </w:r>
    </w:p>
    <w:p>
      <w:pPr>
        <w:spacing w:after="0" w:line="251"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课程结束后，围绕“传递善良与爱心”为主题展开包括：-- 剑桥当地社区中心，这是英国人生</w:t>
      </w:r>
    </w:p>
    <w:p>
      <w:pPr>
        <w:sectPr>
          <w:pgSz w:w="11900" w:h="16838" w:orient="portrait"/>
          <w:cols w:equalWidth="0" w:num="1">
            <w:col w:w="9026"/>
          </w:cols>
          <w:pgMar w:left="1440" w:top="1440" w:right="1440" w:bottom="1033" w:gutter="0" w:footer="0" w:header="0"/>
        </w:sectPr>
      </w:pPr>
    </w:p>
    <w:bookmarkStart w:id="6" w:name="page7"/>
    <w:bookmarkEnd w:id="6"/>
    <w:p>
      <w:pPr>
        <w:spacing w:after="0" w:line="107"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活的一个重要环节，也担当了社区人际交往的功能。（或者剑桥 Council 政府志愿服务目，以</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“环保”为主题，通过开展环保志愿服务活动，教育和引导学生保护环境，增强环保意识）。</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随后返回剑桥大学，进行结业典礼，颁发证书和老师同学合影留恋。</w:t>
      </w:r>
    </w:p>
    <w:p>
      <w:pPr>
        <w:spacing w:after="0" w:line="226"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360"/>
        <w:spacing w:after="0" w:line="274" w:lineRule="exact"/>
        <w:tabs>
          <w:tab w:leader="none" w:pos="1180" w:val="left"/>
          <w:tab w:leader="none" w:pos="2560" w:val="left"/>
        </w:tabs>
        <w:rPr>
          <w:sz w:val="20"/>
          <w:szCs w:val="20"/>
          <w:color w:val="auto"/>
        </w:rPr>
      </w:pPr>
      <w:r>
        <w:rPr>
          <w:rFonts w:ascii="宋体" w:cs="宋体" w:eastAsia="宋体" w:hAnsi="宋体"/>
          <w:sz w:val="24"/>
          <w:szCs w:val="24"/>
          <w:color w:val="auto"/>
        </w:rPr>
        <w:t>Day 5</w:t>
        <w:tab/>
        <w:t>8 月 22 日</w:t>
      </w:r>
      <w:r>
        <w:rPr>
          <w:sz w:val="20"/>
          <w:szCs w:val="20"/>
          <w:color w:val="auto"/>
        </w:rPr>
        <w:tab/>
      </w:r>
      <w:r>
        <w:rPr>
          <w:rFonts w:ascii="宋体" w:cs="宋体" w:eastAsia="宋体" w:hAnsi="宋体"/>
          <w:sz w:val="21"/>
          <w:szCs w:val="21"/>
          <w:b w:val="1"/>
          <w:bCs w:val="1"/>
          <w:color w:val="C00000"/>
        </w:rPr>
        <w:t>剑桥-伦敦</w:t>
      </w:r>
    </w:p>
    <w:p>
      <w:pPr>
        <w:spacing w:after="0" w:line="221"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早餐后，离开</w:t>
      </w:r>
      <w:r>
        <w:rPr>
          <w:rFonts w:ascii="宋体" w:cs="宋体" w:eastAsia="宋体" w:hAnsi="宋体"/>
          <w:sz w:val="20"/>
          <w:szCs w:val="20"/>
          <w:b w:val="1"/>
          <w:bCs w:val="1"/>
          <w:color w:val="auto"/>
        </w:rPr>
        <w:t>剑桥大学</w:t>
      </w:r>
      <w:r>
        <w:rPr>
          <w:rFonts w:ascii="宋体" w:cs="宋体" w:eastAsia="宋体" w:hAnsi="宋体"/>
          <w:sz w:val="20"/>
          <w:szCs w:val="20"/>
          <w:color w:val="auto"/>
        </w:rPr>
        <w:t>，前往</w:t>
      </w:r>
      <w:r>
        <w:rPr>
          <w:rFonts w:ascii="宋体" w:cs="宋体" w:eastAsia="宋体" w:hAnsi="宋体"/>
          <w:sz w:val="20"/>
          <w:szCs w:val="20"/>
          <w:b w:val="1"/>
          <w:bCs w:val="1"/>
          <w:color w:val="auto"/>
        </w:rPr>
        <w:t>大英博物馆</w:t>
      </w:r>
      <w:r>
        <w:rPr>
          <w:rFonts w:ascii="宋体" w:cs="宋体" w:eastAsia="宋体" w:hAnsi="宋体"/>
          <w:sz w:val="20"/>
          <w:szCs w:val="20"/>
          <w:color w:val="auto"/>
        </w:rPr>
        <w:t>，今天上午的主题是：博物馆专场。</w:t>
      </w:r>
      <w:r>
        <w:rPr>
          <w:rFonts w:ascii="宋体" w:cs="宋体" w:eastAsia="宋体" w:hAnsi="宋体"/>
          <w:sz w:val="20"/>
          <w:szCs w:val="20"/>
          <w:b w:val="1"/>
          <w:bCs w:val="1"/>
          <w:color w:val="auto"/>
        </w:rPr>
        <w:t>【大英博物馆】</w:t>
      </w:r>
    </w:p>
    <w:p>
      <w:pPr>
        <w:spacing w:after="0" w:line="251"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是世界上最大，最著名的博物馆。博物馆收藏了世界各地的许多文物和珍品，及很多伟大科学家</w:t>
      </w:r>
    </w:p>
    <w:p>
      <w:pPr>
        <w:spacing w:after="0" w:line="252" w:lineRule="exact"/>
        <w:rPr>
          <w:sz w:val="20"/>
          <w:szCs w:val="20"/>
          <w:color w:val="auto"/>
        </w:rPr>
      </w:pPr>
    </w:p>
    <w:p>
      <w:pPr>
        <w:jc w:val="center"/>
        <w:ind w:right="6"/>
        <w:spacing w:after="0" w:line="217" w:lineRule="exact"/>
        <w:rPr>
          <w:sz w:val="20"/>
          <w:szCs w:val="20"/>
          <w:color w:val="auto"/>
        </w:rPr>
      </w:pPr>
      <w:r>
        <w:rPr>
          <w:rFonts w:ascii="宋体" w:cs="宋体" w:eastAsia="宋体" w:hAnsi="宋体"/>
          <w:sz w:val="19"/>
          <w:szCs w:val="19"/>
          <w:color w:val="auto"/>
        </w:rPr>
        <w:t>的手稿，藏品之丰富、种类之繁多，为全世界博物馆所罕见。其所收藏的古罗马遗迹、古希腊雕</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像和埃及木乃伊闻名于世。其中中国馆收藏的名人字画，珍贵玉器等也都可被誉为稀世珍宝。</w:t>
      </w:r>
    </w:p>
    <w:p>
      <w:pPr>
        <w:spacing w:after="0" w:line="251" w:lineRule="exact"/>
        <w:rPr>
          <w:sz w:val="20"/>
          <w:szCs w:val="20"/>
          <w:color w:val="auto"/>
        </w:rPr>
      </w:pPr>
    </w:p>
    <w:p>
      <w:pPr>
        <w:ind w:left="360"/>
        <w:spacing w:after="0" w:line="217" w:lineRule="exact"/>
        <w:rPr>
          <w:sz w:val="20"/>
          <w:szCs w:val="20"/>
          <w:color w:val="auto"/>
        </w:rPr>
      </w:pPr>
      <w:r>
        <w:rPr>
          <w:rFonts w:ascii="宋体" w:cs="宋体" w:eastAsia="宋体" w:hAnsi="宋体"/>
          <w:sz w:val="19"/>
          <w:szCs w:val="19"/>
          <w:color w:val="auto"/>
        </w:rPr>
        <w:t>下午的主题是：魅力伦敦。参观伦敦象征的建筑</w:t>
      </w:r>
      <w:r>
        <w:rPr>
          <w:rFonts w:ascii="宋体" w:cs="宋体" w:eastAsia="宋体" w:hAnsi="宋体"/>
          <w:sz w:val="19"/>
          <w:szCs w:val="19"/>
          <w:b w:val="1"/>
          <w:bCs w:val="1"/>
          <w:color w:val="auto"/>
        </w:rPr>
        <w:t>--【大本钟】，【议会大厦】，【伦敦塔桥】；</w:t>
      </w:r>
    </w:p>
    <w:p>
      <w:pPr>
        <w:spacing w:after="0" w:line="242"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19"/>
          <w:szCs w:val="19"/>
          <w:color w:val="auto"/>
        </w:rPr>
        <w:t>然后</w:t>
      </w:r>
      <w:r>
        <w:rPr>
          <w:rFonts w:ascii="宋体" w:cs="宋体" w:eastAsia="宋体" w:hAnsi="宋体"/>
          <w:sz w:val="19"/>
          <w:szCs w:val="19"/>
          <w:b w:val="1"/>
          <w:bCs w:val="1"/>
          <w:color w:val="auto"/>
        </w:rPr>
        <w:t>【</w:t>
      </w:r>
      <w:r>
        <w:rPr>
          <w:rFonts w:ascii="宋体" w:cs="宋体" w:eastAsia="宋体" w:hAnsi="宋体"/>
          <w:sz w:val="19"/>
          <w:szCs w:val="19"/>
          <w:b w:val="1"/>
          <w:bCs w:val="1"/>
          <w:color w:val="FF0000"/>
        </w:rPr>
        <w:t>伦敦眼</w:t>
      </w:r>
      <w:r>
        <w:rPr>
          <w:rFonts w:ascii="宋体" w:cs="宋体" w:eastAsia="宋体" w:hAnsi="宋体"/>
          <w:sz w:val="19"/>
          <w:szCs w:val="19"/>
          <w:b w:val="1"/>
          <w:bCs w:val="1"/>
          <w:color w:val="auto"/>
        </w:rPr>
        <w:t>】</w:t>
      </w:r>
      <w:r>
        <w:rPr>
          <w:rFonts w:ascii="宋体" w:cs="宋体" w:eastAsia="宋体" w:hAnsi="宋体"/>
          <w:sz w:val="20"/>
          <w:szCs w:val="20"/>
          <w:color w:val="auto"/>
        </w:rPr>
        <w:t>（外观）</w:t>
      </w:r>
      <w:r>
        <w:rPr>
          <w:rFonts w:ascii="宋体" w:cs="宋体" w:eastAsia="宋体" w:hAnsi="宋体"/>
          <w:sz w:val="19"/>
          <w:szCs w:val="19"/>
          <w:color w:val="auto"/>
        </w:rPr>
        <w:t>，可以随着缆车的逐渐升高，慢慢的欣赏伦敦-这个被评为“世界上最</w:t>
      </w:r>
    </w:p>
    <w:p>
      <w:pPr>
        <w:spacing w:after="0" w:line="237"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具魅力城市”的点点滴滴。</w:t>
      </w:r>
    </w:p>
    <w:p>
      <w:pPr>
        <w:spacing w:after="0" w:line="226"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165100</wp:posOffset>
            </wp:positionV>
            <wp:extent cx="5088890" cy="299466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extLst>
                    </a:blip>
                    <a:srcRect/>
                    <a:stretch>
                      <a:fillRect/>
                    </a:stretch>
                  </pic:blipFill>
                  <pic:spPr bwMode="auto">
                    <a:xfrm>
                      <a:off x="0" y="0"/>
                      <a:ext cx="5088890" cy="29946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ind w:left="360"/>
        <w:spacing w:after="0" w:line="274" w:lineRule="exact"/>
        <w:tabs>
          <w:tab w:leader="none" w:pos="1180" w:val="left"/>
          <w:tab w:leader="none" w:pos="2560" w:val="left"/>
        </w:tabs>
        <w:rPr>
          <w:sz w:val="20"/>
          <w:szCs w:val="20"/>
          <w:color w:val="auto"/>
        </w:rPr>
      </w:pPr>
      <w:r>
        <w:rPr>
          <w:rFonts w:ascii="宋体" w:cs="宋体" w:eastAsia="宋体" w:hAnsi="宋体"/>
          <w:sz w:val="24"/>
          <w:szCs w:val="24"/>
          <w:color w:val="auto"/>
        </w:rPr>
        <w:t>Day 6</w:t>
        <w:tab/>
        <w:t>8 月 23 日</w:t>
      </w:r>
      <w:r>
        <w:rPr>
          <w:sz w:val="20"/>
          <w:szCs w:val="20"/>
          <w:color w:val="auto"/>
        </w:rPr>
        <w:tab/>
      </w:r>
      <w:r>
        <w:rPr>
          <w:rFonts w:ascii="宋体" w:cs="宋体" w:eastAsia="宋体" w:hAnsi="宋体"/>
          <w:sz w:val="21"/>
          <w:szCs w:val="21"/>
          <w:b w:val="1"/>
          <w:bCs w:val="1"/>
          <w:color w:val="C00000"/>
        </w:rPr>
        <w:t>格林尼治天文台 &amp; 哈利波特</w:t>
      </w:r>
    </w:p>
    <w:p>
      <w:pPr>
        <w:spacing w:after="0" w:line="221"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前往世界时间的起源地【</w:t>
      </w:r>
      <w:r>
        <w:rPr>
          <w:rFonts w:ascii="宋体" w:cs="宋体" w:eastAsia="宋体" w:hAnsi="宋体"/>
          <w:sz w:val="20"/>
          <w:szCs w:val="20"/>
          <w:b w:val="1"/>
          <w:bCs w:val="1"/>
          <w:color w:val="auto"/>
        </w:rPr>
        <w:t>格林威治天文台</w:t>
      </w:r>
      <w:r>
        <w:rPr>
          <w:rFonts w:ascii="宋体" w:cs="宋体" w:eastAsia="宋体" w:hAnsi="宋体"/>
          <w:sz w:val="20"/>
          <w:szCs w:val="20"/>
          <w:color w:val="auto"/>
        </w:rPr>
        <w:t>】</w:t>
      </w:r>
      <w:r>
        <w:rPr>
          <w:rFonts w:ascii="宋体" w:cs="宋体" w:eastAsia="宋体" w:hAnsi="宋体"/>
          <w:sz w:val="20"/>
          <w:szCs w:val="20"/>
          <w:b w:val="1"/>
          <w:bCs w:val="1"/>
          <w:color w:val="auto"/>
        </w:rPr>
        <w:t>（入内）</w:t>
      </w:r>
      <w:r>
        <w:rPr>
          <w:rFonts w:ascii="宋体" w:cs="宋体" w:eastAsia="宋体" w:hAnsi="宋体"/>
          <w:sz w:val="20"/>
          <w:szCs w:val="20"/>
          <w:b w:val="1"/>
          <w:bCs w:val="1"/>
          <w:color w:val="215868"/>
        </w:rPr>
        <w:t>，</w:t>
      </w:r>
      <w:r>
        <w:rPr>
          <w:rFonts w:ascii="宋体" w:cs="宋体" w:eastAsia="宋体" w:hAnsi="宋体"/>
          <w:sz w:val="20"/>
          <w:szCs w:val="20"/>
          <w:color w:val="auto"/>
        </w:rPr>
        <w:t>横跨本初子午线，体验一半在东经、一</w:t>
      </w:r>
    </w:p>
    <w:p>
      <w:pPr>
        <w:spacing w:after="0" w:line="240"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半在西经的乐趣。游览【</w:t>
      </w:r>
      <w:r>
        <w:rPr>
          <w:rFonts w:ascii="宋体" w:cs="宋体" w:eastAsia="宋体" w:hAnsi="宋体"/>
          <w:sz w:val="20"/>
          <w:szCs w:val="20"/>
          <w:b w:val="1"/>
          <w:bCs w:val="1"/>
          <w:color w:val="auto"/>
        </w:rPr>
        <w:t>国家海事博物馆</w:t>
      </w:r>
      <w:r>
        <w:rPr>
          <w:rFonts w:ascii="宋体" w:cs="宋体" w:eastAsia="宋体" w:hAnsi="宋体"/>
          <w:sz w:val="20"/>
          <w:szCs w:val="20"/>
          <w:color w:val="auto"/>
        </w:rPr>
        <w:t>】，了解英国作为海洋大国的奥秘。</w:t>
      </w:r>
    </w:p>
    <w:p>
      <w:pPr>
        <w:spacing w:after="0" w:line="240"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下午前往“实地参观哈利波特拍摄地</w:t>
      </w:r>
      <w:r>
        <w:rPr>
          <w:rFonts w:ascii="宋体" w:cs="宋体" w:eastAsia="宋体" w:hAnsi="宋体"/>
          <w:sz w:val="20"/>
          <w:szCs w:val="20"/>
          <w:b w:val="1"/>
          <w:bCs w:val="1"/>
          <w:color w:val="215868"/>
        </w:rPr>
        <w:t>——【</w:t>
      </w:r>
      <w:r>
        <w:rPr>
          <w:rFonts w:ascii="宋体" w:cs="宋体" w:eastAsia="宋体" w:hAnsi="宋体"/>
          <w:sz w:val="20"/>
          <w:szCs w:val="20"/>
          <w:b w:val="1"/>
          <w:bCs w:val="1"/>
          <w:color w:val="FF0000"/>
        </w:rPr>
        <w:t>哈利波特拍摄工作室</w:t>
      </w:r>
      <w:r>
        <w:rPr>
          <w:rFonts w:ascii="宋体" w:cs="宋体" w:eastAsia="宋体" w:hAnsi="宋体"/>
          <w:sz w:val="20"/>
          <w:szCs w:val="20"/>
          <w:b w:val="1"/>
          <w:bCs w:val="1"/>
          <w:color w:val="215868"/>
        </w:rPr>
        <w:t>】</w:t>
      </w:r>
      <w:r>
        <w:rPr>
          <w:rFonts w:ascii="宋体" w:cs="宋体" w:eastAsia="宋体" w:hAnsi="宋体"/>
          <w:sz w:val="20"/>
          <w:szCs w:val="20"/>
          <w:color w:val="auto"/>
        </w:rPr>
        <w:t>。在这里，哈利波特系列电</w:t>
      </w:r>
    </w:p>
    <w:p>
      <w:pPr>
        <w:sectPr>
          <w:pgSz w:w="11900" w:h="16838" w:orient="portrait"/>
          <w:cols w:equalWidth="0" w:num="1">
            <w:col w:w="9026"/>
          </w:cols>
          <w:pgMar w:left="1440" w:top="1440" w:right="1440" w:bottom="1081" w:gutter="0" w:footer="0" w:header="0"/>
        </w:sectPr>
      </w:pPr>
    </w:p>
    <w:bookmarkStart w:id="7" w:name="page8"/>
    <w:bookmarkEnd w:id="7"/>
    <w:p>
      <w:pPr>
        <w:spacing w:after="0" w:line="107" w:lineRule="exact"/>
        <w:rPr>
          <w:sz w:val="20"/>
          <w:szCs w:val="20"/>
          <w:color w:val="auto"/>
        </w:rPr>
      </w:pPr>
    </w:p>
    <w:p>
      <w:pPr>
        <w:ind w:left="360"/>
        <w:spacing w:after="0" w:line="229" w:lineRule="exact"/>
        <w:rPr>
          <w:sz w:val="20"/>
          <w:szCs w:val="20"/>
          <w:color w:val="auto"/>
        </w:rPr>
      </w:pPr>
      <w:r>
        <w:rPr>
          <w:rFonts w:ascii="宋体" w:cs="宋体" w:eastAsia="宋体" w:hAnsi="宋体"/>
          <w:sz w:val="20"/>
          <w:szCs w:val="20"/>
          <w:color w:val="auto"/>
        </w:rPr>
        <w:t>影中的经典场景将逐一展现在你的眼前，在这里探秘魔法哈利的诞生秘密。</w:t>
      </w:r>
    </w:p>
    <w:p>
      <w:pPr>
        <w:spacing w:after="0" w:line="226"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137795</wp:posOffset>
            </wp:positionV>
            <wp:extent cx="5267960" cy="50387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extLst>
                    </a:blip>
                    <a:srcRect/>
                    <a:stretch>
                      <a:fillRect/>
                    </a:stretch>
                  </pic:blipFill>
                  <pic:spPr bwMode="auto">
                    <a:xfrm>
                      <a:off x="0" y="0"/>
                      <a:ext cx="5267960" cy="50387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4" w:lineRule="exact"/>
        <w:rPr>
          <w:sz w:val="20"/>
          <w:szCs w:val="20"/>
          <w:color w:val="auto"/>
        </w:rPr>
      </w:pPr>
    </w:p>
    <w:p>
      <w:pPr>
        <w:ind w:left="360"/>
        <w:spacing w:after="0" w:line="274" w:lineRule="exact"/>
        <w:tabs>
          <w:tab w:leader="none" w:pos="1180" w:val="left"/>
          <w:tab w:leader="none" w:pos="4980" w:val="left"/>
        </w:tabs>
        <w:rPr>
          <w:sz w:val="20"/>
          <w:szCs w:val="20"/>
          <w:color w:val="auto"/>
        </w:rPr>
      </w:pPr>
      <w:r>
        <w:rPr>
          <w:rFonts w:ascii="宋体" w:cs="宋体" w:eastAsia="宋体" w:hAnsi="宋体"/>
          <w:sz w:val="24"/>
          <w:szCs w:val="24"/>
          <w:color w:val="auto"/>
        </w:rPr>
        <w:t>Day 7</w:t>
        <w:tab/>
        <w:t xml:space="preserve">8 月 24 日 </w:t>
      </w:r>
      <w:r>
        <w:rPr>
          <w:rFonts w:ascii="宋体" w:cs="宋体" w:eastAsia="宋体" w:hAnsi="宋体"/>
          <w:sz w:val="24"/>
          <w:szCs w:val="24"/>
          <w:b w:val="1"/>
          <w:bCs w:val="1"/>
          <w:color w:val="C00000"/>
        </w:rPr>
        <w:t>伦敦-特拉福小镇-牛津</w:t>
      </w:r>
      <w:r>
        <w:rPr>
          <w:sz w:val="20"/>
          <w:szCs w:val="20"/>
          <w:color w:val="auto"/>
        </w:rPr>
        <w:tab/>
      </w:r>
      <w:r>
        <w:rPr>
          <w:rFonts w:ascii="宋体" w:cs="宋体" w:eastAsia="宋体" w:hAnsi="宋体"/>
          <w:sz w:val="21"/>
          <w:szCs w:val="21"/>
          <w:b w:val="1"/>
          <w:bCs w:val="1"/>
          <w:color w:val="C00000"/>
        </w:rPr>
        <w:t>车程 3 小时</w:t>
      </w:r>
    </w:p>
    <w:p>
      <w:pPr>
        <w:spacing w:after="0" w:line="194" w:lineRule="exact"/>
        <w:rPr>
          <w:sz w:val="20"/>
          <w:szCs w:val="20"/>
          <w:color w:val="auto"/>
        </w:rPr>
      </w:pPr>
    </w:p>
    <w:p>
      <w:pPr>
        <w:ind w:left="360"/>
        <w:spacing w:after="0" w:line="274" w:lineRule="exact"/>
        <w:tabs>
          <w:tab w:leader="none" w:pos="2640" w:val="left"/>
        </w:tabs>
        <w:rPr>
          <w:sz w:val="20"/>
          <w:szCs w:val="20"/>
          <w:color w:val="auto"/>
        </w:rPr>
      </w:pPr>
      <w:r>
        <w:rPr>
          <w:rFonts w:ascii="宋体" w:cs="宋体" w:eastAsia="宋体" w:hAnsi="宋体"/>
          <w:sz w:val="24"/>
          <w:szCs w:val="24"/>
          <w:b w:val="1"/>
          <w:bCs w:val="1"/>
          <w:color w:val="C00000"/>
        </w:rPr>
        <w:t>走访英伦人文古迹</w:t>
      </w:r>
      <w:r>
        <w:rPr>
          <w:sz w:val="20"/>
          <w:szCs w:val="20"/>
          <w:color w:val="auto"/>
        </w:rPr>
        <w:tab/>
      </w:r>
      <w:r>
        <w:rPr>
          <w:rFonts w:ascii="宋体" w:cs="宋体" w:eastAsia="宋体" w:hAnsi="宋体"/>
          <w:sz w:val="24"/>
          <w:szCs w:val="24"/>
          <w:b w:val="1"/>
          <w:bCs w:val="1"/>
          <w:color w:val="C00000"/>
        </w:rPr>
        <w:t>参访世界顶级名校</w:t>
      </w:r>
    </w:p>
    <w:p>
      <w:pPr>
        <w:spacing w:after="0" w:line="245" w:lineRule="exact"/>
        <w:rPr>
          <w:sz w:val="20"/>
          <w:szCs w:val="20"/>
          <w:color w:val="auto"/>
        </w:rPr>
      </w:pPr>
    </w:p>
    <w:p>
      <w:pPr>
        <w:ind w:left="360" w:right="246"/>
        <w:spacing w:after="0" w:line="403" w:lineRule="exact"/>
        <w:rPr>
          <w:sz w:val="20"/>
          <w:szCs w:val="20"/>
          <w:color w:val="auto"/>
        </w:rPr>
      </w:pPr>
      <w:r>
        <w:rPr>
          <w:rFonts w:ascii="宋体" w:cs="宋体" w:eastAsia="宋体" w:hAnsi="宋体"/>
          <w:sz w:val="21"/>
          <w:szCs w:val="21"/>
          <w:color w:val="auto"/>
        </w:rPr>
        <w:t>埃文河畔斯特拉福小镇，参观【</w:t>
      </w:r>
      <w:r>
        <w:rPr>
          <w:rFonts w:ascii="宋体" w:cs="宋体" w:eastAsia="宋体" w:hAnsi="宋体"/>
          <w:sz w:val="21"/>
          <w:szCs w:val="21"/>
          <w:b w:val="1"/>
          <w:bCs w:val="1"/>
          <w:color w:val="FF0000"/>
        </w:rPr>
        <w:t>莎翁故居</w:t>
      </w:r>
      <w:r>
        <w:rPr>
          <w:rFonts w:ascii="宋体" w:cs="宋体" w:eastAsia="宋体" w:hAnsi="宋体"/>
          <w:sz w:val="21"/>
          <w:szCs w:val="21"/>
          <w:color w:val="auto"/>
        </w:rPr>
        <w:t>】，这里是著名戏剧家莎士比亚诞生和逝世的地方。一座带阁楼的 16 世纪两层住宅，在周围的建筑群中显得尤为特别。随后来到【</w:t>
      </w:r>
      <w:r>
        <w:rPr>
          <w:rFonts w:ascii="宋体" w:cs="宋体" w:eastAsia="宋体" w:hAnsi="宋体"/>
          <w:sz w:val="21"/>
          <w:szCs w:val="21"/>
          <w:b w:val="1"/>
          <w:bCs w:val="1"/>
          <w:color w:val="auto"/>
        </w:rPr>
        <w:t>安妮.海瑟薇农舍</w:t>
      </w:r>
      <w:r>
        <w:rPr>
          <w:rFonts w:ascii="宋体" w:cs="宋体" w:eastAsia="宋体" w:hAnsi="宋体"/>
          <w:sz w:val="21"/>
          <w:szCs w:val="21"/>
          <w:color w:val="auto"/>
        </w:rPr>
        <w:t>】，在于莎士比亚结婚前，安妮·</w:t>
      </w:r>
      <w:r>
        <w:rPr>
          <w:rFonts w:ascii="宋体" w:cs="宋体" w:eastAsia="宋体" w:hAnsi="宋体"/>
          <w:sz w:val="21"/>
          <w:szCs w:val="21"/>
          <w:b w:val="1"/>
          <w:bCs w:val="1"/>
          <w:color w:val="auto"/>
        </w:rPr>
        <w:t xml:space="preserve"> </w:t>
      </w:r>
      <w:r>
        <w:rPr>
          <w:rFonts w:ascii="宋体" w:cs="宋体" w:eastAsia="宋体" w:hAnsi="宋体"/>
          <w:sz w:val="21"/>
          <w:szCs w:val="21"/>
          <w:color w:val="auto"/>
        </w:rPr>
        <w:t>海瑟薇就住在这座漂亮的茅草屋里，莎士比亚经常来此看望她。</w:t>
      </w:r>
    </w:p>
    <w:p>
      <w:pPr>
        <w:spacing w:after="0" w:line="243" w:lineRule="exact"/>
        <w:rPr>
          <w:sz w:val="20"/>
          <w:szCs w:val="20"/>
          <w:color w:val="auto"/>
        </w:rPr>
      </w:pPr>
    </w:p>
    <w:p>
      <w:pPr>
        <w:jc w:val="center"/>
        <w:ind w:right="-13"/>
        <w:spacing w:after="0" w:line="229" w:lineRule="exact"/>
        <w:rPr>
          <w:sz w:val="20"/>
          <w:szCs w:val="20"/>
          <w:color w:val="auto"/>
        </w:rPr>
      </w:pPr>
      <w:r>
        <w:rPr>
          <w:rFonts w:ascii="宋体" w:cs="宋体" w:eastAsia="宋体" w:hAnsi="宋体"/>
          <w:sz w:val="20"/>
          <w:szCs w:val="20"/>
          <w:color w:val="auto"/>
        </w:rPr>
        <w:t>前往【</w:t>
      </w:r>
      <w:r>
        <w:rPr>
          <w:rFonts w:ascii="宋体" w:cs="宋体" w:eastAsia="宋体" w:hAnsi="宋体"/>
          <w:sz w:val="20"/>
          <w:szCs w:val="20"/>
          <w:b w:val="1"/>
          <w:bCs w:val="1"/>
          <w:color w:val="auto"/>
        </w:rPr>
        <w:t>牛津大学城</w:t>
      </w:r>
      <w:r>
        <w:rPr>
          <w:rFonts w:ascii="宋体" w:cs="宋体" w:eastAsia="宋体" w:hAnsi="宋体"/>
          <w:sz w:val="20"/>
          <w:szCs w:val="20"/>
          <w:color w:val="auto"/>
        </w:rPr>
        <w:t>】，参观牛津大学图书馆、校园及著名的</w:t>
      </w:r>
      <w:r>
        <w:rPr>
          <w:rFonts w:ascii="宋体" w:cs="宋体" w:eastAsia="宋体" w:hAnsi="宋体"/>
          <w:sz w:val="20"/>
          <w:szCs w:val="20"/>
          <w:b w:val="1"/>
          <w:bCs w:val="1"/>
          <w:color w:val="FF0000"/>
        </w:rPr>
        <w:t>牛津大学基督学院</w:t>
      </w:r>
      <w:r>
        <w:rPr>
          <w:rFonts w:ascii="宋体" w:cs="宋体" w:eastAsia="宋体" w:hAnsi="宋体"/>
          <w:sz w:val="20"/>
          <w:szCs w:val="20"/>
          <w:color w:val="auto"/>
        </w:rPr>
        <w:t>。了解牛津大</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学，感受校园中浓郁的学校氛围和学生生活。夜宿牛津市。</w:t>
      </w:r>
    </w:p>
    <w:p>
      <w:pPr>
        <w:spacing w:after="0" w:line="224"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ectPr>
          <w:pgSz w:w="11900" w:h="16838" w:orient="portrait"/>
          <w:cols w:equalWidth="0" w:num="1">
            <w:col w:w="9026"/>
          </w:cols>
          <w:pgMar w:left="1440" w:top="1440" w:right="1440" w:bottom="1440" w:gutter="0" w:footer="0" w:header="0"/>
        </w:sectPr>
      </w:pPr>
    </w:p>
    <w:bookmarkStart w:id="8" w:name="page9"/>
    <w:bookmarkEnd w:id="8"/>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1143000</wp:posOffset>
            </wp:positionH>
            <wp:positionV relativeFrom="page">
              <wp:posOffset>974090</wp:posOffset>
            </wp:positionV>
            <wp:extent cx="5272405" cy="341884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5272405" cy="34188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ind w:left="360"/>
        <w:spacing w:after="0" w:line="274" w:lineRule="exact"/>
        <w:tabs>
          <w:tab w:leader="none" w:pos="1140" w:val="left"/>
          <w:tab w:leader="none" w:pos="2380" w:val="left"/>
        </w:tabs>
        <w:rPr>
          <w:sz w:val="20"/>
          <w:szCs w:val="20"/>
          <w:color w:val="auto"/>
        </w:rPr>
      </w:pPr>
      <w:r>
        <w:rPr>
          <w:rFonts w:ascii="宋体" w:cs="宋体" w:eastAsia="宋体" w:hAnsi="宋体"/>
          <w:sz w:val="22"/>
          <w:szCs w:val="22"/>
          <w:color w:val="auto"/>
        </w:rPr>
        <w:t>Day 8</w:t>
      </w:r>
      <w:r>
        <w:rPr>
          <w:sz w:val="20"/>
          <w:szCs w:val="20"/>
          <w:color w:val="auto"/>
        </w:rPr>
        <w:tab/>
      </w:r>
      <w:r>
        <w:rPr>
          <w:rFonts w:ascii="宋体" w:cs="宋体" w:eastAsia="宋体" w:hAnsi="宋体"/>
          <w:sz w:val="24"/>
          <w:szCs w:val="24"/>
          <w:color w:val="auto"/>
        </w:rPr>
        <w:t>8 月 25 日</w:t>
      </w:r>
      <w:r>
        <w:rPr>
          <w:sz w:val="20"/>
          <w:szCs w:val="20"/>
          <w:color w:val="auto"/>
        </w:rPr>
        <w:tab/>
      </w:r>
      <w:r>
        <w:rPr>
          <w:rFonts w:ascii="宋体" w:cs="宋体" w:eastAsia="宋体" w:hAnsi="宋体"/>
          <w:sz w:val="21"/>
          <w:szCs w:val="21"/>
          <w:b w:val="1"/>
          <w:bCs w:val="1"/>
          <w:color w:val="C00000"/>
        </w:rPr>
        <w:t>牛津-温莎小镇-伦敦</w:t>
      </w:r>
    </w:p>
    <w:p>
      <w:pPr>
        <w:spacing w:after="0" w:line="194" w:lineRule="exact"/>
        <w:rPr>
          <w:sz w:val="20"/>
          <w:szCs w:val="20"/>
          <w:color w:val="auto"/>
        </w:rPr>
      </w:pPr>
    </w:p>
    <w:p>
      <w:pPr>
        <w:ind w:left="360"/>
        <w:spacing w:after="0" w:line="274" w:lineRule="exact"/>
        <w:rPr>
          <w:sz w:val="20"/>
          <w:szCs w:val="20"/>
          <w:color w:val="auto"/>
        </w:rPr>
      </w:pPr>
      <w:r>
        <w:rPr>
          <w:rFonts w:ascii="宋体" w:cs="宋体" w:eastAsia="宋体" w:hAnsi="宋体"/>
          <w:sz w:val="24"/>
          <w:szCs w:val="24"/>
          <w:b w:val="1"/>
          <w:bCs w:val="1"/>
          <w:color w:val="C00000"/>
        </w:rPr>
        <w:t>走进女王的度假胜地</w:t>
      </w:r>
    </w:p>
    <w:p>
      <w:pPr>
        <w:spacing w:after="0" w:line="213" w:lineRule="exact"/>
        <w:rPr>
          <w:sz w:val="20"/>
          <w:szCs w:val="20"/>
          <w:color w:val="auto"/>
        </w:rPr>
      </w:pPr>
    </w:p>
    <w:p>
      <w:pPr>
        <w:jc w:val="center"/>
        <w:ind w:right="6"/>
        <w:spacing w:after="0" w:line="240" w:lineRule="exact"/>
        <w:rPr>
          <w:sz w:val="20"/>
          <w:szCs w:val="20"/>
          <w:color w:val="auto"/>
        </w:rPr>
      </w:pPr>
      <w:r>
        <w:rPr>
          <w:rFonts w:ascii="宋体" w:cs="宋体" w:eastAsia="宋体" w:hAnsi="宋体"/>
          <w:sz w:val="21"/>
          <w:szCs w:val="21"/>
          <w:color w:val="auto"/>
        </w:rPr>
        <w:t>前往美丽的温莎小镇，参观英女王最钟爱的周末度假胜地-【</w:t>
      </w:r>
      <w:r>
        <w:rPr>
          <w:rFonts w:ascii="宋体" w:cs="宋体" w:eastAsia="宋体" w:hAnsi="宋体"/>
          <w:sz w:val="21"/>
          <w:szCs w:val="21"/>
          <w:b w:val="1"/>
          <w:bCs w:val="1"/>
          <w:color w:val="FF0000"/>
        </w:rPr>
        <w:t>温莎城堡</w:t>
      </w:r>
      <w:r>
        <w:rPr>
          <w:rFonts w:ascii="宋体" w:cs="宋体" w:eastAsia="宋体" w:hAnsi="宋体"/>
          <w:sz w:val="21"/>
          <w:szCs w:val="21"/>
          <w:color w:val="auto"/>
        </w:rPr>
        <w:t>】，也是世界上现存</w:t>
      </w:r>
    </w:p>
    <w:p>
      <w:pPr>
        <w:spacing w:after="0" w:line="240" w:lineRule="exact"/>
        <w:rPr>
          <w:sz w:val="20"/>
          <w:szCs w:val="20"/>
          <w:color w:val="auto"/>
        </w:rPr>
      </w:pPr>
    </w:p>
    <w:p>
      <w:pPr>
        <w:jc w:val="center"/>
        <w:ind w:right="-13"/>
        <w:spacing w:after="0" w:line="229" w:lineRule="exact"/>
        <w:rPr>
          <w:sz w:val="20"/>
          <w:szCs w:val="20"/>
          <w:color w:val="auto"/>
        </w:rPr>
      </w:pPr>
      <w:r>
        <w:rPr>
          <w:rFonts w:ascii="宋体" w:cs="宋体" w:eastAsia="宋体" w:hAnsi="宋体"/>
          <w:sz w:val="20"/>
          <w:szCs w:val="20"/>
          <w:color w:val="auto"/>
        </w:rPr>
        <w:t>有人居住的最大古堡。之后返回伦敦，【</w:t>
      </w:r>
      <w:r>
        <w:rPr>
          <w:rFonts w:ascii="宋体" w:cs="宋体" w:eastAsia="宋体" w:hAnsi="宋体"/>
          <w:sz w:val="20"/>
          <w:szCs w:val="20"/>
          <w:b w:val="1"/>
          <w:bCs w:val="1"/>
          <w:color w:val="FF0000"/>
        </w:rPr>
        <w:t>威斯敏斯特大教堂</w:t>
      </w:r>
      <w:r>
        <w:rPr>
          <w:rFonts w:ascii="宋体" w:cs="宋体" w:eastAsia="宋体" w:hAnsi="宋体"/>
          <w:sz w:val="20"/>
          <w:szCs w:val="20"/>
          <w:color w:val="auto"/>
        </w:rPr>
        <w:t>】则是历代国王加冕登基、举行</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婚礼庆典的地方，堪称英国王室的石头史书。游览【</w:t>
      </w:r>
      <w:r>
        <w:rPr>
          <w:rFonts w:ascii="宋体" w:cs="宋体" w:eastAsia="宋体" w:hAnsi="宋体"/>
          <w:sz w:val="21"/>
          <w:szCs w:val="21"/>
          <w:b w:val="1"/>
          <w:bCs w:val="1"/>
          <w:color w:val="auto"/>
        </w:rPr>
        <w:t>白金汉宫</w:t>
      </w:r>
      <w:r>
        <w:rPr>
          <w:rFonts w:ascii="宋体" w:cs="宋体" w:eastAsia="宋体" w:hAnsi="宋体"/>
          <w:sz w:val="21"/>
          <w:szCs w:val="21"/>
          <w:color w:val="auto"/>
        </w:rPr>
        <w:t>】</w:t>
      </w:r>
      <w:r>
        <w:rPr>
          <w:rFonts w:ascii="宋体" w:cs="宋体" w:eastAsia="宋体" w:hAnsi="宋体"/>
          <w:sz w:val="21"/>
          <w:szCs w:val="21"/>
          <w:b w:val="1"/>
          <w:bCs w:val="1"/>
          <w:color w:val="auto"/>
        </w:rPr>
        <w:t>（外观）</w:t>
      </w:r>
      <w:r>
        <w:rPr>
          <w:rFonts w:ascii="宋体" w:cs="宋体" w:eastAsia="宋体" w:hAnsi="宋体"/>
          <w:sz w:val="21"/>
          <w:szCs w:val="21"/>
          <w:color w:val="auto"/>
        </w:rPr>
        <w:t>这座英国的王宫，</w:t>
      </w:r>
    </w:p>
    <w:p>
      <w:pPr>
        <w:spacing w:after="0" w:line="240" w:lineRule="exact"/>
        <w:rPr>
          <w:sz w:val="20"/>
          <w:szCs w:val="20"/>
          <w:color w:val="auto"/>
        </w:rPr>
      </w:pPr>
    </w:p>
    <w:p>
      <w:pPr>
        <w:jc w:val="center"/>
        <w:ind w:right="6"/>
        <w:spacing w:after="0" w:line="229" w:lineRule="exact"/>
        <w:rPr>
          <w:sz w:val="20"/>
          <w:szCs w:val="20"/>
          <w:color w:val="auto"/>
        </w:rPr>
      </w:pPr>
      <w:r>
        <w:rPr>
          <w:rFonts w:ascii="宋体" w:cs="宋体" w:eastAsia="宋体" w:hAnsi="宋体"/>
          <w:sz w:val="20"/>
          <w:szCs w:val="20"/>
          <w:color w:val="auto"/>
        </w:rPr>
        <w:t>也是王室行政总部之所在，是当今世界上少数仍在使用的皇家宫殿之一。随后逛一逛【</w:t>
      </w:r>
      <w:r>
        <w:rPr>
          <w:rFonts w:ascii="宋体" w:cs="宋体" w:eastAsia="宋体" w:hAnsi="宋体"/>
          <w:sz w:val="20"/>
          <w:szCs w:val="20"/>
          <w:b w:val="1"/>
          <w:bCs w:val="1"/>
          <w:color w:val="auto"/>
        </w:rPr>
        <w:t>圣詹</w:t>
      </w:r>
    </w:p>
    <w:p>
      <w:pPr>
        <w:spacing w:after="0" w:line="228"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b w:val="1"/>
          <w:bCs w:val="1"/>
          <w:color w:val="auto"/>
        </w:rPr>
        <w:t>姆斯公园</w:t>
      </w:r>
      <w:r>
        <w:rPr>
          <w:rFonts w:ascii="宋体" w:cs="宋体" w:eastAsia="宋体" w:hAnsi="宋体"/>
          <w:sz w:val="21"/>
          <w:szCs w:val="21"/>
          <w:color w:val="auto"/>
        </w:rPr>
        <w:t>】，每年都有数百万游客造访此处，这是英国首都八大皇家公园中最古老的一座。</w:t>
      </w:r>
    </w:p>
    <w:p>
      <w:pPr>
        <w:spacing w:after="0" w:line="224" w:lineRule="exact"/>
        <w:rPr>
          <w:sz w:val="20"/>
          <w:szCs w:val="20"/>
          <w:color w:val="auto"/>
        </w:rPr>
      </w:pPr>
    </w:p>
    <w:p>
      <w:pPr>
        <w:ind w:left="360"/>
        <w:spacing w:after="0" w:line="251" w:lineRule="exact"/>
        <w:tabs>
          <w:tab w:leader="none" w:pos="1220" w:val="left"/>
          <w:tab w:leader="none" w:pos="1660" w:val="left"/>
        </w:tabs>
        <w:rPr>
          <w:sz w:val="20"/>
          <w:szCs w:val="20"/>
          <w:color w:val="auto"/>
        </w:rPr>
      </w:pPr>
      <w:r>
        <w:rPr>
          <w:rFonts w:ascii="宋体" w:cs="宋体" w:eastAsia="宋体" w:hAnsi="宋体"/>
          <w:sz w:val="22"/>
          <w:szCs w:val="22"/>
          <w:b w:val="1"/>
          <w:bCs w:val="1"/>
          <w:color w:val="auto"/>
        </w:rPr>
        <w:t>餐：早</w:t>
        <w:tab/>
        <w:t>午</w:t>
      </w:r>
      <w:r>
        <w:rPr>
          <w:sz w:val="20"/>
          <w:szCs w:val="20"/>
          <w:color w:val="auto"/>
        </w:rPr>
        <w:tab/>
      </w:r>
      <w:r>
        <w:rPr>
          <w:rFonts w:ascii="宋体" w:cs="宋体" w:eastAsia="宋体" w:hAnsi="宋体"/>
          <w:sz w:val="21"/>
          <w:szCs w:val="21"/>
          <w:b w:val="1"/>
          <w:bCs w:val="1"/>
          <w:color w:val="auto"/>
        </w:rPr>
        <w:t>晚</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228600</wp:posOffset>
            </wp:positionH>
            <wp:positionV relativeFrom="paragraph">
              <wp:posOffset>97790</wp:posOffset>
            </wp:positionV>
            <wp:extent cx="5252720" cy="134429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extLst>
                    </a:blip>
                    <a:srcRect/>
                    <a:stretch>
                      <a:fillRect/>
                    </a:stretch>
                  </pic:blipFill>
                  <pic:spPr bwMode="auto">
                    <a:xfrm>
                      <a:off x="0" y="0"/>
                      <a:ext cx="5252720" cy="1344295"/>
                    </a:xfrm>
                    <a:prstGeom prst="rect">
                      <a:avLst/>
                    </a:prstGeom>
                    <a:noFill/>
                  </pic:spPr>
                </pic:pic>
              </a:graphicData>
            </a:graphic>
          </wp:anchor>
        </w:drawing>
      </w:r>
    </w:p>
    <w:p>
      <w:pPr>
        <w:sectPr>
          <w:pgSz w:w="11900" w:h="16838" w:orient="portrait"/>
          <w:cols w:equalWidth="0" w:num="1">
            <w:col w:w="9026"/>
          </w:cols>
          <w:pgMar w:left="1440" w:top="1440" w:right="1440" w:bottom="1440" w:gutter="0" w:footer="0" w:header="0"/>
        </w:sectPr>
      </w:pPr>
    </w:p>
    <w:bookmarkStart w:id="9" w:name="page10"/>
    <w:bookmarkEnd w:id="9"/>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1143000</wp:posOffset>
            </wp:positionH>
            <wp:positionV relativeFrom="page">
              <wp:posOffset>916940</wp:posOffset>
            </wp:positionV>
            <wp:extent cx="5251450" cy="17780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5251450" cy="17780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360"/>
        <w:spacing w:after="0" w:line="274" w:lineRule="exact"/>
        <w:tabs>
          <w:tab w:leader="none" w:pos="1180" w:val="left"/>
          <w:tab w:leader="none" w:pos="2440" w:val="left"/>
          <w:tab w:leader="none" w:pos="4340" w:val="left"/>
        </w:tabs>
        <w:rPr>
          <w:sz w:val="20"/>
          <w:szCs w:val="20"/>
          <w:color w:val="auto"/>
        </w:rPr>
      </w:pPr>
      <w:r>
        <w:rPr>
          <w:rFonts w:ascii="宋体" w:cs="宋体" w:eastAsia="宋体" w:hAnsi="宋体"/>
          <w:sz w:val="24"/>
          <w:szCs w:val="24"/>
          <w:color w:val="auto"/>
        </w:rPr>
        <w:t>Day 9</w:t>
        <w:tab/>
        <w:t>8 月 26 日</w:t>
      </w:r>
      <w:r>
        <w:rPr>
          <w:sz w:val="20"/>
          <w:szCs w:val="20"/>
          <w:color w:val="auto"/>
        </w:rPr>
        <w:tab/>
      </w:r>
      <w:r>
        <w:rPr>
          <w:rFonts w:ascii="宋体" w:cs="宋体" w:eastAsia="宋体" w:hAnsi="宋体"/>
          <w:sz w:val="21"/>
          <w:szCs w:val="21"/>
          <w:b w:val="1"/>
          <w:bCs w:val="1"/>
          <w:color w:val="C00000"/>
        </w:rPr>
        <w:t>伦敦-比斯特-伦敦</w:t>
      </w:r>
      <w:r>
        <w:rPr>
          <w:sz w:val="20"/>
          <w:szCs w:val="20"/>
          <w:color w:val="auto"/>
        </w:rPr>
        <w:tab/>
      </w:r>
      <w:r>
        <w:rPr>
          <w:rFonts w:ascii="宋体" w:cs="宋体" w:eastAsia="宋体" w:hAnsi="宋体"/>
          <w:sz w:val="19"/>
          <w:szCs w:val="19"/>
          <w:b w:val="1"/>
          <w:bCs w:val="1"/>
          <w:color w:val="C00000"/>
        </w:rPr>
        <w:t>单程 1.5 小时</w:t>
      </w:r>
    </w:p>
    <w:p>
      <w:pPr>
        <w:spacing w:after="0" w:line="195" w:lineRule="exact"/>
        <w:rPr>
          <w:sz w:val="20"/>
          <w:szCs w:val="20"/>
          <w:color w:val="auto"/>
        </w:rPr>
      </w:pPr>
    </w:p>
    <w:p>
      <w:pPr>
        <w:ind w:left="360"/>
        <w:spacing w:after="0" w:line="274" w:lineRule="exact"/>
        <w:rPr>
          <w:sz w:val="20"/>
          <w:szCs w:val="20"/>
          <w:color w:val="auto"/>
        </w:rPr>
      </w:pPr>
      <w:r>
        <w:rPr>
          <w:rFonts w:ascii="宋体" w:cs="宋体" w:eastAsia="宋体" w:hAnsi="宋体"/>
          <w:sz w:val="24"/>
          <w:szCs w:val="24"/>
          <w:color w:val="auto"/>
        </w:rPr>
        <w:t>全天购物。（含车导）</w:t>
      </w:r>
    </w:p>
    <w:p>
      <w:pPr>
        <w:spacing w:after="0" w:line="232" w:lineRule="exact"/>
        <w:rPr>
          <w:sz w:val="20"/>
          <w:szCs w:val="20"/>
          <w:color w:val="auto"/>
        </w:rPr>
      </w:pPr>
    </w:p>
    <w:p>
      <w:pPr>
        <w:jc w:val="both"/>
        <w:ind w:left="360" w:right="366"/>
        <w:spacing w:after="0" w:line="449" w:lineRule="exact"/>
        <w:rPr>
          <w:sz w:val="20"/>
          <w:szCs w:val="20"/>
          <w:color w:val="auto"/>
        </w:rPr>
      </w:pPr>
      <w:r>
        <w:rPr>
          <w:rFonts w:ascii="宋体" w:cs="宋体" w:eastAsia="宋体" w:hAnsi="宋体"/>
          <w:sz w:val="23"/>
          <w:szCs w:val="23"/>
          <w:b w:val="1"/>
          <w:bCs w:val="1"/>
          <w:color w:val="auto"/>
        </w:rPr>
        <w:t>比斯特购物村 Bicester Village</w:t>
      </w:r>
      <w:r>
        <w:rPr>
          <w:rFonts w:ascii="宋体" w:cs="宋体" w:eastAsia="宋体" w:hAnsi="宋体"/>
          <w:sz w:val="23"/>
          <w:szCs w:val="23"/>
          <w:color w:val="auto"/>
        </w:rPr>
        <w:t>，位于英国牛津市附近的比斯特镇。每年吸引大量来自欧洲以及全球的时尚奢侈品追求者来此观光购物。比斯特购物村折扣形式吸引人群，而且打折的对象都是世界顶级大牌，比如 Prada、Gucci、D&amp;G 等上百个世界名牌。比斯特购物村是英国人气最火的 Outlet，是游客在伦敦城外购物的首选之地。英国比斯特购物村汇聚了 130 多个世界名牌，而其商品价格则是正价的对折甚至更少。在比斯特购物村购物，你一定能挑到心仪的商品，还可以享受额外折扣。比斯特购物村作为伦敦著名的购物天堂，是想享受贵族社会氛围的好去处。2017 年将会扩张成为拥有近 170 个品牌的大型奢侈购物目的地。充满英伦格调的比斯特购物村(Bicester Village) 是时尚爱好者的必到之处。可以在购物村里轻松获得各项卓越服务。这里更有专属于中国宾客的额外优惠等你前来尊享。此外，比斯特购物村中一个个从穿着打扮到气质言行都极具传统英伦风尚的礼宾人员更是为购物村之旅增添了耳目一新的文化体验。</w:t>
      </w:r>
    </w:p>
    <w:p>
      <w:pPr>
        <w:spacing w:after="0" w:line="201" w:lineRule="exact"/>
        <w:rPr>
          <w:sz w:val="20"/>
          <w:szCs w:val="20"/>
          <w:color w:val="auto"/>
        </w:rPr>
      </w:pPr>
    </w:p>
    <w:p>
      <w:pPr>
        <w:ind w:left="360"/>
        <w:spacing w:after="0" w:line="274" w:lineRule="exact"/>
        <w:rPr>
          <w:sz w:val="20"/>
          <w:szCs w:val="20"/>
          <w:color w:val="auto"/>
        </w:rPr>
      </w:pPr>
      <w:r>
        <w:rPr>
          <w:rFonts w:ascii="宋体" w:cs="宋体" w:eastAsia="宋体" w:hAnsi="宋体"/>
          <w:sz w:val="24"/>
          <w:szCs w:val="24"/>
          <w:color w:val="auto"/>
        </w:rPr>
        <w:t>地址：50 Pingle Drive, Bicester Oxfordshire, OX26 6WD, England</w:t>
      </w:r>
    </w:p>
    <w:p>
      <w:pPr>
        <w:spacing w:after="0" w:line="208"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餐：早</w:t>
      </w:r>
    </w:p>
    <w:p>
      <w:pPr>
        <w:sectPr>
          <w:pgSz w:w="11900" w:h="16838" w:orient="portrait"/>
          <w:cols w:equalWidth="0" w:num="1">
            <w:col w:w="9026"/>
          </w:cols>
          <w:pgMar w:left="1440" w:top="1440" w:right="1440" w:bottom="1440" w:gutter="0" w:footer="0" w:header="0"/>
        </w:sectPr>
      </w:pPr>
    </w:p>
    <w:bookmarkStart w:id="10" w:name="page11"/>
    <w:bookmarkEnd w:id="10"/>
    <w:p>
      <w:pPr>
        <w:spacing w:after="0" w:line="200" w:lineRule="exact"/>
        <w:rPr>
          <w:sz w:val="20"/>
          <w:szCs w:val="20"/>
          <w:color w:val="auto"/>
        </w:rPr>
      </w:pPr>
      <w:r>
        <w:rPr>
          <w:sz w:val="20"/>
          <w:szCs w:val="20"/>
          <w:color w:val="auto"/>
        </w:rPr>
        <w:drawing>
          <wp:anchor simplePos="0" relativeHeight="251657728" behindDoc="1" locked="0" layoutInCell="0" allowOverlap="1">
            <wp:simplePos x="0" y="0"/>
            <wp:positionH relativeFrom="page">
              <wp:posOffset>1143000</wp:posOffset>
            </wp:positionH>
            <wp:positionV relativeFrom="page">
              <wp:posOffset>1223010</wp:posOffset>
            </wp:positionV>
            <wp:extent cx="5271770" cy="353314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5271770" cy="35331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360"/>
        <w:spacing w:after="0" w:line="269" w:lineRule="exact"/>
        <w:tabs>
          <w:tab w:leader="none" w:pos="1240" w:val="left"/>
        </w:tabs>
        <w:rPr>
          <w:sz w:val="20"/>
          <w:szCs w:val="20"/>
          <w:color w:val="auto"/>
        </w:rPr>
      </w:pPr>
      <w:r>
        <w:rPr>
          <w:rFonts w:ascii="宋体" w:cs="宋体" w:eastAsia="宋体" w:hAnsi="宋体"/>
          <w:sz w:val="22"/>
          <w:szCs w:val="22"/>
          <w:color w:val="auto"/>
        </w:rPr>
        <w:t>Day 10</w:t>
      </w:r>
      <w:r>
        <w:rPr>
          <w:sz w:val="20"/>
          <w:szCs w:val="20"/>
          <w:color w:val="auto"/>
        </w:rPr>
        <w:tab/>
      </w:r>
      <w:r>
        <w:rPr>
          <w:rFonts w:ascii="宋体" w:cs="宋体" w:eastAsia="宋体" w:hAnsi="宋体"/>
          <w:sz w:val="22"/>
          <w:szCs w:val="22"/>
          <w:color w:val="auto"/>
        </w:rPr>
        <w:t xml:space="preserve">8 月 27 日 </w:t>
      </w:r>
      <w:r>
        <w:rPr>
          <w:rFonts w:ascii="宋体" w:cs="宋体" w:eastAsia="宋体" w:hAnsi="宋体"/>
          <w:sz w:val="22"/>
          <w:szCs w:val="22"/>
          <w:b w:val="1"/>
          <w:bCs w:val="1"/>
          <w:color w:val="C00000"/>
        </w:rPr>
        <w:t>告别伦敦 返回南京。</w:t>
      </w:r>
    </w:p>
    <w:p>
      <w:pPr>
        <w:spacing w:after="0" w:line="213"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早餐后，前往机场，搭乘当日国际航班，飞回南京。</w:t>
      </w:r>
    </w:p>
    <w:p>
      <w:pPr>
        <w:spacing w:after="0" w:line="224" w:lineRule="exact"/>
        <w:rPr>
          <w:sz w:val="20"/>
          <w:szCs w:val="20"/>
          <w:color w:val="auto"/>
        </w:rPr>
      </w:pPr>
    </w:p>
    <w:p>
      <w:pPr>
        <w:ind w:left="360"/>
        <w:spacing w:after="0" w:line="251" w:lineRule="exact"/>
        <w:rPr>
          <w:sz w:val="20"/>
          <w:szCs w:val="20"/>
          <w:color w:val="auto"/>
        </w:rPr>
      </w:pPr>
      <w:r>
        <w:rPr>
          <w:rFonts w:ascii="宋体" w:cs="宋体" w:eastAsia="宋体" w:hAnsi="宋体"/>
          <w:sz w:val="22"/>
          <w:szCs w:val="22"/>
          <w:b w:val="1"/>
          <w:bCs w:val="1"/>
          <w:color w:val="auto"/>
        </w:rPr>
        <w:t>餐：早</w:t>
      </w:r>
    </w:p>
    <w:p>
      <w:pPr>
        <w:spacing w:after="0" w:line="200" w:lineRule="exact"/>
        <w:rPr>
          <w:sz w:val="20"/>
          <w:szCs w:val="20"/>
          <w:color w:val="auto"/>
        </w:rPr>
      </w:pPr>
    </w:p>
    <w:p>
      <w:pPr>
        <w:spacing w:after="0" w:line="200" w:lineRule="exact"/>
        <w:rPr>
          <w:sz w:val="20"/>
          <w:szCs w:val="20"/>
          <w:color w:val="auto"/>
        </w:rPr>
      </w:pPr>
    </w:p>
    <w:p>
      <w:pPr>
        <w:spacing w:after="0" w:line="271" w:lineRule="exact"/>
        <w:rPr>
          <w:sz w:val="20"/>
          <w:szCs w:val="20"/>
          <w:color w:val="auto"/>
        </w:rPr>
      </w:pPr>
    </w:p>
    <w:p>
      <w:pPr>
        <w:ind w:left="360"/>
        <w:spacing w:after="0" w:line="274" w:lineRule="exact"/>
        <w:tabs>
          <w:tab w:leader="none" w:pos="1240" w:val="left"/>
          <w:tab w:leader="none" w:pos="2500" w:val="left"/>
        </w:tabs>
        <w:rPr>
          <w:sz w:val="20"/>
          <w:szCs w:val="20"/>
          <w:color w:val="auto"/>
        </w:rPr>
      </w:pPr>
      <w:r>
        <w:rPr>
          <w:rFonts w:ascii="宋体" w:cs="宋体" w:eastAsia="宋体" w:hAnsi="宋体"/>
          <w:sz w:val="22"/>
          <w:szCs w:val="22"/>
          <w:color w:val="auto"/>
        </w:rPr>
        <w:t>Day 11</w:t>
      </w:r>
      <w:r>
        <w:rPr>
          <w:sz w:val="20"/>
          <w:szCs w:val="20"/>
          <w:color w:val="auto"/>
        </w:rPr>
        <w:tab/>
      </w:r>
      <w:r>
        <w:rPr>
          <w:rFonts w:ascii="宋体" w:cs="宋体" w:eastAsia="宋体" w:hAnsi="宋体"/>
          <w:sz w:val="24"/>
          <w:szCs w:val="24"/>
          <w:color w:val="auto"/>
        </w:rPr>
        <w:t>8 月 28 日</w:t>
      </w:r>
      <w:r>
        <w:rPr>
          <w:sz w:val="20"/>
          <w:szCs w:val="20"/>
          <w:color w:val="auto"/>
        </w:rPr>
        <w:tab/>
      </w:r>
      <w:r>
        <w:rPr>
          <w:rFonts w:ascii="宋体" w:cs="宋体" w:eastAsia="宋体" w:hAnsi="宋体"/>
          <w:sz w:val="23"/>
          <w:szCs w:val="23"/>
          <w:b w:val="1"/>
          <w:bCs w:val="1"/>
          <w:color w:val="C00000"/>
        </w:rPr>
        <w:t>抵达国内</w:t>
      </w:r>
    </w:p>
    <w:p>
      <w:pPr>
        <w:spacing w:after="0" w:line="212" w:lineRule="exact"/>
        <w:rPr>
          <w:sz w:val="20"/>
          <w:szCs w:val="20"/>
          <w:color w:val="auto"/>
        </w:rPr>
      </w:pPr>
    </w:p>
    <w:p>
      <w:pPr>
        <w:ind w:left="360"/>
        <w:spacing w:after="0" w:line="240" w:lineRule="exact"/>
        <w:rPr>
          <w:sz w:val="20"/>
          <w:szCs w:val="20"/>
          <w:color w:val="auto"/>
        </w:rPr>
      </w:pPr>
      <w:r>
        <w:rPr>
          <w:rFonts w:ascii="宋体" w:cs="宋体" w:eastAsia="宋体" w:hAnsi="宋体"/>
          <w:sz w:val="21"/>
          <w:szCs w:val="21"/>
          <w:color w:val="auto"/>
        </w:rPr>
        <w:t>安抵南京。</w:t>
      </w:r>
    </w:p>
    <w:sectPr>
      <w:pgSz w:w="11900" w:h="16838" w:orient="portrait"/>
      <w:cols w:equalWidth="0" w:num="1">
        <w:col w:w="9026"/>
      </w:cols>
      <w:pgMar w:left="1440" w:top="1440" w:right="1440" w:bottom="144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宋体">
    <w:panose1 w:val="02010600030101010101"/>
    <w:charset w:val="86"/>
    <w:family w:val="auto"/>
    <w:pitch w:val="variable"/>
    <w:sig w:usb0="00000003" w:usb1="288F0000" w:usb2="00000006" w:usb3="00000000" w:csb0="00040001" w:csb1="00000000"/>
  </w:font>
  <w:font w:name="MS PGothic">
    <w:panose1 w:val="020B0600070205080204"/>
    <w:charset w:val="00"/>
    <w:family w:val="swiss"/>
    <w:pitch w:val="variable"/>
    <w:sig w:usb0="E00002FF" w:usb1="6AC7FDFB" w:usb2="08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2018-06-22T22:10:52Z</dcterms:created>
  <dcterms:modified xsi:type="dcterms:W3CDTF">2018-06-22T22:10:52Z</dcterms:modified>
</cp:coreProperties>
</file>